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1CA6C7" w14:textId="77777777" w:rsidR="00090434" w:rsidRDefault="00090434" w:rsidP="00090434">
      <w:r>
        <w:t>Buchvorstellung</w:t>
      </w:r>
    </w:p>
    <w:p w14:paraId="2FAB559F" w14:textId="023D9287" w:rsidR="009A3012" w:rsidRDefault="00090434" w:rsidP="009A3012">
      <w:pPr>
        <w:pStyle w:val="StandardWeb"/>
        <w:shd w:val="clear" w:color="auto" w:fill="FFFFFF"/>
        <w:spacing w:before="0" w:beforeAutospacing="0" w:after="0" w:afterAutospacing="0" w:line="276" w:lineRule="auto"/>
        <w:rPr>
          <w:rFonts w:ascii="Arial" w:eastAsiaTheme="minorHAnsi" w:hAnsi="Arial" w:cs="Arial"/>
          <w:b/>
          <w:color w:val="0049A2"/>
          <w:sz w:val="32"/>
          <w:szCs w:val="22"/>
          <w:lang w:eastAsia="en-US"/>
        </w:rPr>
      </w:pPr>
      <w:r>
        <w:rPr>
          <w:rFonts w:ascii="Arial" w:eastAsiaTheme="minorHAnsi" w:hAnsi="Arial" w:cs="Arial"/>
          <w:b/>
          <w:color w:val="0049A2"/>
          <w:sz w:val="32"/>
          <w:szCs w:val="22"/>
          <w:lang w:eastAsia="en-US"/>
        </w:rPr>
        <w:t>Resilienz stärkende Angebote in der Weiterbildung</w:t>
      </w:r>
    </w:p>
    <w:p w14:paraId="7C929CF2" w14:textId="77777777" w:rsidR="00B94EB4" w:rsidRPr="00987AC5" w:rsidRDefault="00B94EB4" w:rsidP="009A3012">
      <w:pPr>
        <w:pStyle w:val="StandardWeb"/>
        <w:shd w:val="clear" w:color="auto" w:fill="FFFFFF"/>
        <w:spacing w:before="0" w:beforeAutospacing="0" w:after="0" w:afterAutospacing="0" w:line="276" w:lineRule="auto"/>
        <w:rPr>
          <w:rFonts w:ascii="Arial" w:eastAsiaTheme="minorHAnsi" w:hAnsi="Arial" w:cs="Arial"/>
          <w:b/>
          <w:color w:val="0049A2"/>
          <w:szCs w:val="18"/>
          <w:lang w:eastAsia="en-US"/>
        </w:rPr>
      </w:pPr>
    </w:p>
    <w:p w14:paraId="795F12D0" w14:textId="7531836A" w:rsidR="00090434" w:rsidRPr="003652A6" w:rsidRDefault="00090434" w:rsidP="003652A6">
      <w:pPr>
        <w:spacing w:before="100" w:beforeAutospacing="1"/>
        <w:rPr>
          <w:rFonts w:ascii="Arial" w:eastAsia="Times New Roman" w:hAnsi="Arial" w:cs="Arial"/>
          <w:b/>
          <w:bCs/>
          <w:lang w:eastAsia="de-DE"/>
        </w:rPr>
      </w:pPr>
      <w:r w:rsidRPr="003652A6">
        <w:rPr>
          <w:rFonts w:ascii="Arial" w:hAnsi="Arial" w:cs="Arial"/>
          <w:b/>
          <w:bCs/>
          <w:noProof/>
        </w:rPr>
        <mc:AlternateContent>
          <mc:Choice Requires="wps">
            <w:drawing>
              <wp:anchor distT="0" distB="0" distL="114300" distR="114300" simplePos="0" relativeHeight="251664384" behindDoc="0" locked="0" layoutInCell="1" allowOverlap="1" wp14:anchorId="6734EEDC" wp14:editId="18C4EEAC">
                <wp:simplePos x="0" y="0"/>
                <wp:positionH relativeFrom="column">
                  <wp:posOffset>-1905</wp:posOffset>
                </wp:positionH>
                <wp:positionV relativeFrom="paragraph">
                  <wp:posOffset>3467100</wp:posOffset>
                </wp:positionV>
                <wp:extent cx="2324100" cy="635"/>
                <wp:effectExtent l="0" t="0" r="0" b="12065"/>
                <wp:wrapSquare wrapText="bothSides"/>
                <wp:docPr id="857995743" name="Textfeld 1"/>
                <wp:cNvGraphicFramePr/>
                <a:graphic xmlns:a="http://schemas.openxmlformats.org/drawingml/2006/main">
                  <a:graphicData uri="http://schemas.microsoft.com/office/word/2010/wordprocessingShape">
                    <wps:wsp>
                      <wps:cNvSpPr txBox="1"/>
                      <wps:spPr>
                        <a:xfrm>
                          <a:off x="0" y="0"/>
                          <a:ext cx="2324100" cy="635"/>
                        </a:xfrm>
                        <a:prstGeom prst="rect">
                          <a:avLst/>
                        </a:prstGeom>
                        <a:solidFill>
                          <a:prstClr val="white"/>
                        </a:solidFill>
                        <a:ln>
                          <a:noFill/>
                        </a:ln>
                      </wps:spPr>
                      <wps:txbx>
                        <w:txbxContent>
                          <w:p w14:paraId="4B5AF280" w14:textId="0EEE97D3" w:rsidR="00090434" w:rsidRPr="00A66E67" w:rsidRDefault="00090434" w:rsidP="00090434">
                            <w:pPr>
                              <w:pStyle w:val="Beschriftung"/>
                              <w:rPr>
                                <w:rFonts w:cstheme="minorHAnsi"/>
                                <w:noProof/>
                                <w:sz w:val="22"/>
                                <w:szCs w:val="22"/>
                              </w:rPr>
                            </w:pPr>
                            <w:r>
                              <w:t xml:space="preserve">Abb. </w:t>
                            </w:r>
                            <w:r>
                              <w:fldChar w:fldCharType="begin"/>
                            </w:r>
                            <w:r>
                              <w:instrText xml:space="preserve"> SEQ Abb. \* ARABIC </w:instrText>
                            </w:r>
                            <w:r>
                              <w:fldChar w:fldCharType="separate"/>
                            </w:r>
                            <w:r w:rsidR="00D65235">
                              <w:rPr>
                                <w:noProof/>
                              </w:rPr>
                              <w:t>1</w:t>
                            </w:r>
                            <w:r>
                              <w:fldChar w:fldCharType="end"/>
                            </w:r>
                            <w:r>
                              <w:t xml:space="preserve"> Cover der Handreichung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734EEDC" id="_x0000_t202" coordsize="21600,21600" o:spt="202" path="m,l,21600r21600,l21600,xe">
                <v:stroke joinstyle="miter"/>
                <v:path gradientshapeok="t" o:connecttype="rect"/>
              </v:shapetype>
              <v:shape id="Textfeld 1" o:spid="_x0000_s1026" type="#_x0000_t202" style="position:absolute;margin-left:-.15pt;margin-top:273pt;width:183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P9veFQIAADgEAAAOAAAAZHJzL2Uyb0RvYy54bWysU8Fu2zAMvQ/YPwi6L07SrRiMOEWWIsOA&#13;&#10;oC2QDj0rshQbkEWNUmJnXz9KtpOu22nYRaZF6lF872lx1zWGnRT6GmzBZ5MpZ8pKKGt7KPj3582H&#13;&#10;z5z5IGwpDFhV8LPy/G75/t2idbmaQwWmVMgIxPq8dQWvQnB5lnlZqUb4CThlKakBGxHoFw9ZiaIl&#13;&#10;9MZk8+n0NmsBS4cglfe0e98n+TLha61keNTaq8BMweluIa2Y1n1cs+VC5AcUrqrlcA3xD7doRG2p&#13;&#10;6QXqXgTBjlj/AdXUEsGDDhMJTQZa11KlGWia2fTNNLtKOJVmIXK8u9Dk/x+sfDjt3BOy0H2BjgSM&#13;&#10;hLTO55424zydxiZ+6aaM8kTh+UKb6gKTtDm/mX+cTSklKXd78yliZNejDn34qqBhMSg4kiaJKnHa&#13;&#10;+tCXjiWxkwdTl5vamPgTE2uD7CRIv7aqgxrAf6syNtZaiKd6wLiTXeeIUej23TDcHsozzYzQ28E7&#13;&#10;uamp0Vb48CSQ9KdZyNPhkRZtoC04DBFnFeDPv+3HepKFspy15KeC+x9HgYoz882SYNF8Y4BjsB8D&#13;&#10;e2zWQCPO6LU4mUI6gMGMoUZoXsjqq9iFUsJK6lXwMIbr0LuanopUq1UqIos5EbZ252SEHgl97l4E&#13;&#10;ukGOQCo+wOg0kb9Rpa9NurjVMRDFSbJIaM/iwDPZM4k+PKXo/9f/qer64Je/AAAA//8DAFBLAwQU&#13;&#10;AAYACAAAACEAi5nDDuQAAAAOAQAADwAAAGRycy9kb3ducmV2LnhtbEyPQU/DMAyF70j8h8hIXNCW&#13;&#10;jnYFdU2nacABLhNlF25Z4zWFJqmSdCv/HsMFLpbsZz+/r1xPpmcn9KFzVsBingBD2zjV2VbA/u1p&#13;&#10;dg8sRGmV7J1FAV8YYF1dXpSyUO5sX/FUx5aRiQ2FFKBjHArOQ6PRyDB3A1rSjs4bGan1LVdensnc&#13;&#10;9Pw2SXJuZGfpg5YDbjU2n/VoBOyy952+GY+PL5ss9c/7cZt/tLUQ11fTw4rKZgUs4hT/LuCHgfJD&#13;&#10;RcEObrQqsF7ALKVFAcssJy7S03x5B+zwO1kAr0r+H6P6BgAA//8DAFBLAQItABQABgAIAAAAIQC2&#13;&#10;gziS/gAAAOEBAAATAAAAAAAAAAAAAAAAAAAAAABbQ29udGVudF9UeXBlc10ueG1sUEsBAi0AFAAG&#13;&#10;AAgAAAAhADj9If/WAAAAlAEAAAsAAAAAAAAAAAAAAAAALwEAAF9yZWxzLy5yZWxzUEsBAi0AFAAG&#13;&#10;AAgAAAAhANU/294VAgAAOAQAAA4AAAAAAAAAAAAAAAAALgIAAGRycy9lMm9Eb2MueG1sUEsBAi0A&#13;&#10;FAAGAAgAAAAhAIuZww7kAAAADgEAAA8AAAAAAAAAAAAAAAAAbwQAAGRycy9kb3ducmV2LnhtbFBL&#13;&#10;BQYAAAAABAAEAPMAAACABQAAAAA=&#13;&#10;" stroked="f">
                <v:textbox style="mso-fit-shape-to-text:t" inset="0,0,0,0">
                  <w:txbxContent>
                    <w:p w14:paraId="4B5AF280" w14:textId="0EEE97D3" w:rsidR="00090434" w:rsidRPr="00A66E67" w:rsidRDefault="00090434" w:rsidP="00090434">
                      <w:pPr>
                        <w:pStyle w:val="Beschriftung"/>
                        <w:rPr>
                          <w:rFonts w:cstheme="minorHAnsi"/>
                          <w:noProof/>
                          <w:sz w:val="22"/>
                          <w:szCs w:val="22"/>
                        </w:rPr>
                      </w:pPr>
                      <w:r>
                        <w:t xml:space="preserve">Abb. </w:t>
                      </w:r>
                      <w:r>
                        <w:fldChar w:fldCharType="begin"/>
                      </w:r>
                      <w:r>
                        <w:instrText xml:space="preserve"> SEQ Abb. \* ARABIC </w:instrText>
                      </w:r>
                      <w:r>
                        <w:fldChar w:fldCharType="separate"/>
                      </w:r>
                      <w:r w:rsidR="00D65235">
                        <w:rPr>
                          <w:noProof/>
                        </w:rPr>
                        <w:t>1</w:t>
                      </w:r>
                      <w:r>
                        <w:fldChar w:fldCharType="end"/>
                      </w:r>
                      <w:r>
                        <w:t xml:space="preserve"> Cover der Handreichung</w:t>
                      </w:r>
                    </w:p>
                  </w:txbxContent>
                </v:textbox>
                <w10:wrap type="square"/>
              </v:shape>
            </w:pict>
          </mc:Fallback>
        </mc:AlternateContent>
      </w:r>
      <w:r w:rsidRPr="003652A6">
        <w:rPr>
          <w:rFonts w:ascii="Arial" w:hAnsi="Arial" w:cs="Arial"/>
          <w:b/>
          <w:bCs/>
          <w:noProof/>
        </w:rPr>
        <w:drawing>
          <wp:anchor distT="0" distB="0" distL="114300" distR="114300" simplePos="0" relativeHeight="251662336" behindDoc="0" locked="0" layoutInCell="1" allowOverlap="1" wp14:anchorId="0F046AA0" wp14:editId="3CD80D0F">
            <wp:simplePos x="0" y="0"/>
            <wp:positionH relativeFrom="column">
              <wp:posOffset>-1905</wp:posOffset>
            </wp:positionH>
            <wp:positionV relativeFrom="paragraph">
              <wp:posOffset>180975</wp:posOffset>
            </wp:positionV>
            <wp:extent cx="2324100" cy="3228975"/>
            <wp:effectExtent l="0" t="0" r="0" b="0"/>
            <wp:wrapSquare wrapText="bothSides"/>
            <wp:docPr id="172504199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41990" name="Grafik 17250419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100" cy="3228975"/>
                    </a:xfrm>
                    <a:prstGeom prst="rect">
                      <a:avLst/>
                    </a:prstGeom>
                  </pic:spPr>
                </pic:pic>
              </a:graphicData>
            </a:graphic>
            <wp14:sizeRelH relativeFrom="page">
              <wp14:pctWidth>0</wp14:pctWidth>
            </wp14:sizeRelH>
            <wp14:sizeRelV relativeFrom="page">
              <wp14:pctHeight>0</wp14:pctHeight>
            </wp14:sizeRelV>
          </wp:anchor>
        </w:drawing>
      </w:r>
      <w:r w:rsidRPr="003652A6">
        <w:rPr>
          <w:rFonts w:ascii="Arial" w:hAnsi="Arial" w:cs="Arial"/>
          <w:b/>
          <w:bCs/>
        </w:rPr>
        <w:t xml:space="preserve">Neben einem knappen Überblick zum Thema Resilienz bietet die Handreichung vor allem eine Unterstützung zur Stärkung von Resilienz im Team der Weiterbildungseinrichtung wie auch der Weiterbildungseinrichtung als solcher. Sie </w:t>
      </w:r>
      <w:r w:rsidR="003652A6">
        <w:rPr>
          <w:rFonts w:ascii="Arial" w:hAnsi="Arial" w:cs="Arial"/>
          <w:b/>
          <w:bCs/>
        </w:rPr>
        <w:t>enthält</w:t>
      </w:r>
      <w:r w:rsidRPr="003652A6">
        <w:rPr>
          <w:rFonts w:ascii="Arial" w:hAnsi="Arial" w:cs="Arial"/>
          <w:b/>
          <w:bCs/>
        </w:rPr>
        <w:t xml:space="preserve"> zwei didaktische Feinkonzepte für Workshops zur Stärkung der individuellen Resilienz / der Resilienz in der Organisation und zur Entwicklung Resilienz fördernder Weiterbildungsangebote.</w:t>
      </w:r>
    </w:p>
    <w:p w14:paraId="4F61A488" w14:textId="77777777" w:rsidR="00090434" w:rsidRPr="003652A6" w:rsidRDefault="00090434" w:rsidP="00090434">
      <w:pPr>
        <w:spacing w:before="100" w:beforeAutospacing="1" w:after="100" w:afterAutospacing="1"/>
        <w:rPr>
          <w:rFonts w:ascii="Arial" w:eastAsia="Times New Roman" w:hAnsi="Arial" w:cs="Arial"/>
          <w:lang w:eastAsia="de-DE"/>
        </w:rPr>
      </w:pPr>
      <w:r w:rsidRPr="003652A6">
        <w:rPr>
          <w:rFonts w:ascii="Arial" w:eastAsia="Times New Roman" w:hAnsi="Arial" w:cs="Arial"/>
          <w:lang w:eastAsia="de-DE"/>
        </w:rPr>
        <w:t>Die Handreichung des Landesverbands der Volkshochschulen von NRW verbindet Grundlagenwissen zu Resilienz mit konkreten Anregungen für die Weiterbildungspraxis. Für das Personal der Erwachsenenbildung ist sie insbesondere interessant, weil sie Resilienz als Thema von Bildungsangeboten und als Aufgabe von Weiterbildungseinrichtungen betrachtet.</w:t>
      </w:r>
    </w:p>
    <w:p w14:paraId="2AB9B4C9" w14:textId="77777777" w:rsidR="00090434" w:rsidRPr="003652A6" w:rsidRDefault="00090434" w:rsidP="00090434">
      <w:pPr>
        <w:spacing w:before="100" w:beforeAutospacing="1" w:after="100" w:afterAutospacing="1"/>
        <w:rPr>
          <w:rFonts w:ascii="Arial" w:eastAsia="Times New Roman" w:hAnsi="Arial" w:cs="Arial"/>
          <w:lang w:eastAsia="de-DE"/>
        </w:rPr>
      </w:pPr>
      <w:r w:rsidRPr="003652A6">
        <w:rPr>
          <w:rFonts w:ascii="Arial" w:eastAsia="Times New Roman" w:hAnsi="Arial" w:cs="Arial"/>
          <w:lang w:eastAsia="de-DE"/>
        </w:rPr>
        <w:t xml:space="preserve">Die Handreichung versteht Resilienz als die Fähigkeit – „oder vielleicht besser als Eigenschaft“ (S. 4) – mit belastenden Situationen und Krisen umzugehen und dabei möglichst handlungsfähig zu bleiben. Dabei wird der Blick ausdrücklich über die einzelne Person hinaus erweitert: Auch Teams und Organisationen können resilienter werden. Die Handreichung beschreibt verschiedene Faktoren, die gestärkt werden können. Dazu gehören beispielsweise </w:t>
      </w:r>
      <w:r w:rsidRPr="003652A6">
        <w:rPr>
          <w:rFonts w:ascii="Arial" w:eastAsia="Times New Roman" w:hAnsi="Arial" w:cs="Arial"/>
          <w:b/>
          <w:bCs/>
          <w:lang w:eastAsia="de-DE"/>
        </w:rPr>
        <w:t>realistischer Optimismus, Lösungsorientierung, positive Zukunftsplanung oder Selbstreflexion</w:t>
      </w:r>
      <w:r w:rsidRPr="003652A6">
        <w:rPr>
          <w:rFonts w:ascii="Arial" w:eastAsia="Times New Roman" w:hAnsi="Arial" w:cs="Arial"/>
          <w:lang w:eastAsia="de-DE"/>
        </w:rPr>
        <w:t>.</w:t>
      </w:r>
    </w:p>
    <w:p w14:paraId="315943AF" w14:textId="270DE2CC" w:rsidR="00090434" w:rsidRPr="003652A6" w:rsidRDefault="00090434" w:rsidP="00090434">
      <w:pPr>
        <w:spacing w:before="100" w:beforeAutospacing="1" w:after="100" w:afterAutospacing="1"/>
        <w:rPr>
          <w:rFonts w:ascii="Arial" w:eastAsia="Times New Roman" w:hAnsi="Arial" w:cs="Arial"/>
          <w:lang w:eastAsia="de-DE"/>
        </w:rPr>
      </w:pPr>
      <w:r w:rsidRPr="003652A6">
        <w:rPr>
          <w:rFonts w:ascii="Arial" w:eastAsia="Times New Roman" w:hAnsi="Arial" w:cs="Arial"/>
          <w:lang w:eastAsia="de-DE"/>
        </w:rPr>
        <w:t xml:space="preserve">Auch wenn der Fokus auf Bildungsorganisationen gelegt wird, kann die Feinplanung des Workshops </w:t>
      </w:r>
      <w:r w:rsidRPr="003652A6">
        <w:rPr>
          <w:rFonts w:ascii="Arial" w:hAnsi="Arial" w:cs="Arial"/>
        </w:rPr>
        <w:t xml:space="preserve">zur Stärkung der individuellen Resilienz / der Resilienz in der Organisation </w:t>
      </w:r>
      <w:r w:rsidRPr="003652A6">
        <w:rPr>
          <w:rFonts w:ascii="Arial" w:eastAsia="Times New Roman" w:hAnsi="Arial" w:cs="Arial"/>
          <w:lang w:eastAsia="de-DE"/>
        </w:rPr>
        <w:t xml:space="preserve">sowie die zahlreichen zur Verfügung gestellten Materialien auf Bildungsangebote für andere Organisationen übertragen werden. </w:t>
      </w:r>
    </w:p>
    <w:p w14:paraId="4886610C" w14:textId="77777777" w:rsidR="00090434" w:rsidRPr="003652A6" w:rsidRDefault="00090434" w:rsidP="00090434">
      <w:pPr>
        <w:spacing w:before="100" w:beforeAutospacing="1" w:after="100" w:afterAutospacing="1"/>
        <w:rPr>
          <w:rFonts w:ascii="Arial" w:eastAsia="Times New Roman" w:hAnsi="Arial" w:cs="Arial"/>
          <w:lang w:eastAsia="de-DE"/>
        </w:rPr>
      </w:pPr>
      <w:r w:rsidRPr="003652A6">
        <w:rPr>
          <w:rFonts w:ascii="Arial" w:eastAsia="Times New Roman" w:hAnsi="Arial" w:cs="Arial"/>
          <w:lang w:eastAsia="de-DE"/>
        </w:rPr>
        <w:t>Damit eröffnen sich für Lehrende unterschiedliche Möglichkeiten: Resilienz kann als eigenständiges Kursthema aufgegriffen, aber auch in bestehende Bildungsangebote integriert werden. Die Handreichung schlägt vor, Ressourcen und Handlungsmöglichkeiten der Teilnehmenden in den Mittelpunkt zu stellen (vgl. hierzu auch den Beitrag „</w:t>
      </w:r>
      <w:hyperlink r:id="rId12" w:history="1">
        <w:r w:rsidRPr="003652A6">
          <w:rPr>
            <w:rStyle w:val="Hyperlink"/>
            <w:rFonts w:ascii="Arial" w:eastAsia="Times New Roman" w:hAnsi="Arial" w:cs="Arial"/>
            <w:lang w:eastAsia="de-DE"/>
          </w:rPr>
          <w:t>Heterogenität als Chance“</w:t>
        </w:r>
      </w:hyperlink>
      <w:r w:rsidRPr="003652A6">
        <w:rPr>
          <w:rFonts w:ascii="Arial" w:eastAsia="Times New Roman" w:hAnsi="Arial" w:cs="Arial"/>
          <w:lang w:eastAsia="de-DE"/>
        </w:rPr>
        <w:t xml:space="preserve"> auf </w:t>
      </w:r>
      <w:proofErr w:type="spellStart"/>
      <w:r w:rsidRPr="003652A6">
        <w:rPr>
          <w:rFonts w:ascii="Arial" w:eastAsia="Times New Roman" w:hAnsi="Arial" w:cs="Arial"/>
          <w:lang w:eastAsia="de-DE"/>
        </w:rPr>
        <w:t>wb</w:t>
      </w:r>
      <w:proofErr w:type="spellEnd"/>
      <w:r w:rsidRPr="003652A6">
        <w:rPr>
          <w:rFonts w:ascii="Arial" w:eastAsia="Times New Roman" w:hAnsi="Arial" w:cs="Arial"/>
          <w:lang w:eastAsia="de-DE"/>
        </w:rPr>
        <w:t xml:space="preserve">-web) und sie bei der Entwicklung eigener Strategien im Umgang mit </w:t>
      </w:r>
      <w:r w:rsidRPr="003652A6">
        <w:rPr>
          <w:rFonts w:ascii="Arial" w:eastAsia="Times New Roman" w:hAnsi="Arial" w:cs="Arial"/>
          <w:lang w:eastAsia="de-DE"/>
        </w:rPr>
        <w:lastRenderedPageBreak/>
        <w:t>Belastungen zu unterstützen. Zugleich wird deutlich, dass Resilienzförderung nicht allein bei den Lernenden ansetzen sollte. Auch die Arbeitsbedingungen und die Zusammenarbeit innerhalb der (Weiterbildungs-)Einrichtung spielen eine Rolle.</w:t>
      </w:r>
    </w:p>
    <w:p w14:paraId="6645E658" w14:textId="77777777" w:rsidR="00090434" w:rsidRPr="003652A6" w:rsidRDefault="00090434" w:rsidP="00090434">
      <w:pPr>
        <w:spacing w:before="100" w:beforeAutospacing="1" w:after="100" w:afterAutospacing="1"/>
        <w:rPr>
          <w:rFonts w:ascii="Arial" w:eastAsia="Times New Roman" w:hAnsi="Arial" w:cs="Arial"/>
          <w:lang w:eastAsia="de-DE"/>
        </w:rPr>
      </w:pPr>
      <w:r w:rsidRPr="003652A6">
        <w:rPr>
          <w:rFonts w:ascii="Arial" w:eastAsia="Times New Roman" w:hAnsi="Arial" w:cs="Arial"/>
          <w:lang w:eastAsia="de-DE"/>
        </w:rPr>
        <w:t xml:space="preserve">Besonders hilfreich für die praktische Arbeit sind die </w:t>
      </w:r>
      <w:r w:rsidRPr="003652A6">
        <w:rPr>
          <w:rFonts w:ascii="Arial" w:eastAsia="Times New Roman" w:hAnsi="Arial" w:cs="Arial"/>
          <w:b/>
          <w:bCs/>
          <w:lang w:eastAsia="de-DE"/>
        </w:rPr>
        <w:t>Arbeitsmaterialien im zweiten Teil der Handreichung</w:t>
      </w:r>
      <w:r w:rsidRPr="003652A6">
        <w:rPr>
          <w:rFonts w:ascii="Arial" w:eastAsia="Times New Roman" w:hAnsi="Arial" w:cs="Arial"/>
          <w:lang w:eastAsia="de-DE"/>
        </w:rPr>
        <w:t>. Dazu gehören Checklisten zur individuellen und organisationalen Resilienz, Instrumente für die Programmentwicklung sowie konkrete Methoden wie ein Kanban-Board, ein Museumsgang oder die 5-Finger-Feedback-Methode (S. 23–34). Die Materialien können als Ausgangspunkt dienen, um mit Lernenden über persönliche Ressourcen, Selbstwirksamkeit, soziale Netzwerke und den Umgang mit Herausforderungen ins Gespräch zu kommen – und dabei Resilienz unmittelbar mit Lernen und Handlungsfähigkeit zu verbinden.</w:t>
      </w:r>
    </w:p>
    <w:p w14:paraId="22A2A7C5" w14:textId="5F1D26E0" w:rsidR="00090434" w:rsidRPr="003652A6" w:rsidRDefault="00090434" w:rsidP="00090434">
      <w:pPr>
        <w:spacing w:before="100" w:beforeAutospacing="1" w:after="100" w:afterAutospacing="1"/>
        <w:rPr>
          <w:rFonts w:ascii="Arial" w:eastAsia="Times New Roman" w:hAnsi="Arial" w:cs="Arial"/>
          <w:lang w:eastAsia="de-DE"/>
        </w:rPr>
      </w:pPr>
      <w:r w:rsidRPr="003652A6">
        <w:rPr>
          <w:rFonts w:ascii="Arial" w:eastAsia="Times New Roman" w:hAnsi="Arial" w:cs="Arial"/>
          <w:lang w:eastAsia="de-DE"/>
        </w:rPr>
        <w:t xml:space="preserve">Damit eignet sich die Handreichung nicht nur zur persönlichen Reflexion, sondern auch als Werkzeug für die Planung, Durchführung und Weiterentwicklung von Bildungsangeboten. Wer Resilienz in der Erwachsenenbildung aufgreifen möchte, findet </w:t>
      </w:r>
      <w:r w:rsidR="003652A6">
        <w:rPr>
          <w:rFonts w:ascii="Arial" w:eastAsia="Times New Roman" w:hAnsi="Arial" w:cs="Arial"/>
          <w:lang w:eastAsia="de-DE"/>
        </w:rPr>
        <w:t>in der Handreichung</w:t>
      </w:r>
      <w:r w:rsidRPr="003652A6">
        <w:rPr>
          <w:rFonts w:ascii="Arial" w:eastAsia="Times New Roman" w:hAnsi="Arial" w:cs="Arial"/>
          <w:lang w:eastAsia="de-DE"/>
        </w:rPr>
        <w:t xml:space="preserve"> sowohl Hintergrundinformationen als auch konkrete Impulse, die sich für die eigene Bildungspraxis adaptieren lassen.</w:t>
      </w:r>
    </w:p>
    <w:p w14:paraId="550AF653" w14:textId="2D504619" w:rsidR="00090434" w:rsidRPr="003652A6" w:rsidRDefault="00090434" w:rsidP="00090434">
      <w:pPr>
        <w:rPr>
          <w:rFonts w:ascii="Arial" w:hAnsi="Arial" w:cs="Arial"/>
        </w:rPr>
      </w:pPr>
      <w:r w:rsidRPr="003652A6">
        <w:rPr>
          <w:rFonts w:ascii="Arial" w:hAnsi="Arial" w:cs="Arial"/>
        </w:rPr>
        <w:t xml:space="preserve">Der Landesverband der Volkshochschulen in NRW stellt die Handreichung im Rahmen seiner Projektergebnisse als Unterstützung für die Entwicklung </w:t>
      </w:r>
      <w:proofErr w:type="spellStart"/>
      <w:r w:rsidRPr="003652A6">
        <w:rPr>
          <w:rFonts w:ascii="Arial" w:hAnsi="Arial" w:cs="Arial"/>
        </w:rPr>
        <w:t>resilienzfördernder</w:t>
      </w:r>
      <w:proofErr w:type="spellEnd"/>
      <w:r w:rsidRPr="003652A6">
        <w:rPr>
          <w:rFonts w:ascii="Arial" w:hAnsi="Arial" w:cs="Arial"/>
        </w:rPr>
        <w:t xml:space="preserve"> Weiterbildungsangebote unter offener </w:t>
      </w:r>
      <w:r w:rsidR="003652A6" w:rsidRPr="003652A6">
        <w:rPr>
          <w:rFonts w:ascii="Arial" w:hAnsi="Arial" w:cs="Arial"/>
        </w:rPr>
        <w:t>Lizenz</w:t>
      </w:r>
      <w:r w:rsidRPr="003652A6">
        <w:rPr>
          <w:rFonts w:ascii="Arial" w:hAnsi="Arial" w:cs="Arial"/>
        </w:rPr>
        <w:t xml:space="preserve"> bereit. Gefördert wurde das Vorhaben mit Mitteln des Ministeriums für Kultur und Wissenschaft NRW.</w:t>
      </w:r>
    </w:p>
    <w:p w14:paraId="135EE589" w14:textId="77777777" w:rsidR="00090434" w:rsidRPr="003652A6" w:rsidRDefault="00090434" w:rsidP="00090434">
      <w:pPr>
        <w:pStyle w:val="berschrift2"/>
        <w:rPr>
          <w:rFonts w:ascii="Arial" w:eastAsia="Arial" w:hAnsi="Arial" w:cs="Arial"/>
        </w:rPr>
      </w:pPr>
      <w:r w:rsidRPr="003652A6">
        <w:rPr>
          <w:rFonts w:ascii="Arial" w:eastAsia="Arial" w:hAnsi="Arial" w:cs="Arial"/>
        </w:rPr>
        <w:t>Verlagsinformationen</w:t>
      </w:r>
    </w:p>
    <w:p w14:paraId="1E7D9297" w14:textId="475D1AFF" w:rsidR="00090434" w:rsidRPr="003652A6" w:rsidRDefault="00090434" w:rsidP="00090434">
      <w:pPr>
        <w:rPr>
          <w:rFonts w:ascii="Arial" w:hAnsi="Arial" w:cs="Arial"/>
        </w:rPr>
      </w:pPr>
      <w:r w:rsidRPr="003652A6">
        <w:rPr>
          <w:rFonts w:ascii="Arial" w:hAnsi="Arial" w:cs="Arial"/>
        </w:rPr>
        <w:t xml:space="preserve">Landesverband der Volkshochschulen von NRW e.V. </w:t>
      </w:r>
      <w:r w:rsidR="003652A6">
        <w:rPr>
          <w:rFonts w:ascii="Arial" w:hAnsi="Arial" w:cs="Arial"/>
        </w:rPr>
        <w:t>(</w:t>
      </w:r>
      <w:proofErr w:type="gramStart"/>
      <w:r w:rsidR="003652A6">
        <w:rPr>
          <w:rFonts w:ascii="Arial" w:hAnsi="Arial" w:cs="Arial"/>
        </w:rPr>
        <w:t>Hrsg.)</w:t>
      </w:r>
      <w:r w:rsidRPr="003652A6">
        <w:rPr>
          <w:rFonts w:ascii="Arial" w:hAnsi="Arial" w:cs="Arial"/>
        </w:rPr>
        <w:t>(</w:t>
      </w:r>
      <w:proofErr w:type="gramEnd"/>
      <w:r w:rsidRPr="003652A6">
        <w:rPr>
          <w:rFonts w:ascii="Arial" w:hAnsi="Arial" w:cs="Arial"/>
        </w:rPr>
        <w:t xml:space="preserve">2024). Handreichung Resilienz stärken in der Weiterbildung. </w:t>
      </w:r>
      <w:hyperlink r:id="rId13" w:history="1">
        <w:r w:rsidRPr="003652A6">
          <w:rPr>
            <w:rStyle w:val="Hyperlink"/>
            <w:rFonts w:ascii="Arial" w:hAnsi="Arial" w:cs="Arial"/>
          </w:rPr>
          <w:t>https://www.vhs-nrw.de/wp-content/uploads/2024/04/20240410_Handreichung</w:t>
        </w:r>
        <w:r w:rsidRPr="003652A6">
          <w:rPr>
            <w:rStyle w:val="Hyperlink"/>
            <w:rFonts w:ascii="Arial" w:hAnsi="Arial" w:cs="Arial"/>
          </w:rPr>
          <w:t>-</w:t>
        </w:r>
        <w:r w:rsidRPr="003652A6">
          <w:rPr>
            <w:rStyle w:val="Hyperlink"/>
            <w:rFonts w:ascii="Arial" w:hAnsi="Arial" w:cs="Arial"/>
          </w:rPr>
          <w:t>Resilienz_Lay5.pdf</w:t>
        </w:r>
      </w:hyperlink>
      <w:r w:rsidRPr="003652A6">
        <w:rPr>
          <w:rFonts w:ascii="Arial" w:hAnsi="Arial" w:cs="Arial"/>
        </w:rPr>
        <w:t xml:space="preserve">, </w:t>
      </w:r>
      <w:hyperlink r:id="rId14" w:history="1">
        <w:r w:rsidRPr="003652A6">
          <w:rPr>
            <w:rStyle w:val="Hyperlink"/>
            <w:rFonts w:ascii="Arial" w:hAnsi="Arial" w:cs="Arial"/>
          </w:rPr>
          <w:t>CC BY-SA 4.0</w:t>
        </w:r>
      </w:hyperlink>
    </w:p>
    <w:p w14:paraId="6B6575A6" w14:textId="7FEC30E6" w:rsidR="00FD4313" w:rsidRPr="003652A6" w:rsidRDefault="00090434" w:rsidP="005C650B">
      <w:pPr>
        <w:spacing w:after="0"/>
        <w:rPr>
          <w:rFonts w:ascii="Arial" w:hAnsi="Arial" w:cs="Arial"/>
          <w:b/>
          <w:color w:val="0049A2"/>
          <w:sz w:val="24"/>
          <w:szCs w:val="24"/>
        </w:rPr>
      </w:pPr>
      <w:bookmarkStart w:id="0" w:name="h.gjdgxs" w:colFirst="0" w:colLast="0"/>
      <w:bookmarkEnd w:id="0"/>
      <w:r w:rsidRPr="003652A6">
        <w:rPr>
          <w:rFonts w:ascii="Arial" w:hAnsi="Arial" w:cs="Arial"/>
        </w:rPr>
        <w:t xml:space="preserve">Buchvorstellung </w:t>
      </w:r>
      <w:hyperlink r:id="rId15" w:history="1">
        <w:r w:rsidRPr="00F471E1">
          <w:rPr>
            <w:rStyle w:val="Hyperlink"/>
            <w:rFonts w:ascii="Arial" w:hAnsi="Arial" w:cs="Arial"/>
          </w:rPr>
          <w:t>„Handreichung Resilienz stärken in der Weiterbildung“</w:t>
        </w:r>
      </w:hyperlink>
      <w:r w:rsidRPr="003652A6">
        <w:rPr>
          <w:rFonts w:ascii="Arial" w:hAnsi="Arial" w:cs="Arial"/>
        </w:rPr>
        <w:t xml:space="preserve"> von Lars Kilian für </w:t>
      </w:r>
      <w:proofErr w:type="spellStart"/>
      <w:r w:rsidRPr="003652A6">
        <w:rPr>
          <w:rFonts w:ascii="Arial" w:hAnsi="Arial" w:cs="Arial"/>
        </w:rPr>
        <w:t>wb</w:t>
      </w:r>
      <w:proofErr w:type="spellEnd"/>
      <w:r w:rsidRPr="003652A6">
        <w:rPr>
          <w:rFonts w:ascii="Arial" w:hAnsi="Arial" w:cs="Arial"/>
        </w:rPr>
        <w:t xml:space="preserve">-web (2026), </w:t>
      </w:r>
      <w:hyperlink r:id="rId16" w:history="1">
        <w:r w:rsidRPr="003652A6">
          <w:rPr>
            <w:rStyle w:val="Hyperlink"/>
            <w:rFonts w:ascii="Arial" w:hAnsi="Arial" w:cs="Arial"/>
          </w:rPr>
          <w:t>CC BY-SA 4.0</w:t>
        </w:r>
      </w:hyperlink>
    </w:p>
    <w:sectPr w:rsidR="00FD4313" w:rsidRPr="003652A6" w:rsidSect="003B00B1">
      <w:headerReference w:type="even" r:id="rId17"/>
      <w:headerReference w:type="default" r:id="rId18"/>
      <w:footerReference w:type="even" r:id="rId19"/>
      <w:footerReference w:type="default" r:id="rId20"/>
      <w:headerReference w:type="first" r:id="rId21"/>
      <w:footerReference w:type="first" r:id="rId22"/>
      <w:pgSz w:w="11906" w:h="16838"/>
      <w:pgMar w:top="2552" w:right="1417" w:bottom="1134" w:left="1417" w:header="90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981FF1" w14:textId="77777777" w:rsidR="00BE2A92" w:rsidRDefault="00BE2A92" w:rsidP="00014AE4">
      <w:pPr>
        <w:spacing w:after="0" w:line="240" w:lineRule="auto"/>
      </w:pPr>
      <w:r>
        <w:separator/>
      </w:r>
    </w:p>
  </w:endnote>
  <w:endnote w:type="continuationSeparator" w:id="0">
    <w:p w14:paraId="1C3947A2" w14:textId="77777777" w:rsidR="00BE2A92" w:rsidRDefault="00BE2A92" w:rsidP="00014AE4">
      <w:pPr>
        <w:spacing w:after="0" w:line="240" w:lineRule="auto"/>
      </w:pPr>
      <w:r>
        <w:continuationSeparator/>
      </w:r>
    </w:p>
  </w:endnote>
  <w:endnote w:type="continuationNotice" w:id="1">
    <w:p w14:paraId="61E80397" w14:textId="77777777" w:rsidR="00BE2A92" w:rsidRDefault="00BE2A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DINPro">
    <w:altName w:val="Segoe Script"/>
    <w:panose1 w:val="020B0604020202020204"/>
    <w:charset w:val="00"/>
    <w:family w:val="swiss"/>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11DCBE" w14:textId="77777777" w:rsidR="00090434" w:rsidRDefault="0009043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3009D" w14:textId="77777777" w:rsidR="00090434" w:rsidRPr="00090434" w:rsidRDefault="00327355" w:rsidP="0040731C">
    <w:pPr>
      <w:autoSpaceDE w:val="0"/>
      <w:autoSpaceDN w:val="0"/>
      <w:adjustRightInd w:val="0"/>
      <w:spacing w:after="0" w:line="240" w:lineRule="auto"/>
      <w:rPr>
        <w:rFonts w:ascii="DINPro" w:hAnsi="DINPro" w:cs="DINPro"/>
        <w:color w:val="333333"/>
        <w:sz w:val="16"/>
        <w:szCs w:val="16"/>
      </w:rPr>
    </w:pPr>
    <w:r w:rsidRPr="00327355">
      <w:rPr>
        <w:rStyle w:val="Hyperlink"/>
        <w:noProof/>
      </w:rPr>
      <w:drawing>
        <wp:anchor distT="0" distB="0" distL="114300" distR="114300" simplePos="0" relativeHeight="251658242" behindDoc="0" locked="0" layoutInCell="1" allowOverlap="1" wp14:anchorId="533D96AA" wp14:editId="38E33EF6">
          <wp:simplePos x="0" y="0"/>
          <wp:positionH relativeFrom="margin">
            <wp:align>left</wp:align>
          </wp:positionH>
          <wp:positionV relativeFrom="margin">
            <wp:posOffset>8017721</wp:posOffset>
          </wp:positionV>
          <wp:extent cx="1038225" cy="342900"/>
          <wp:effectExtent l="0" t="0" r="9525" b="0"/>
          <wp:wrapSquare wrapText="bothSides"/>
          <wp:docPr id="7"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038225" cy="342900"/>
                  </a:xfrm>
                  <a:prstGeom prst="rect">
                    <a:avLst/>
                  </a:prstGeom>
                  <a:ln/>
                </pic:spPr>
              </pic:pic>
            </a:graphicData>
          </a:graphic>
          <wp14:sizeRelH relativeFrom="margin">
            <wp14:pctWidth>0</wp14:pctWidth>
          </wp14:sizeRelH>
          <wp14:sizeRelV relativeFrom="margin">
            <wp14:pctHeight>0</wp14:pctHeight>
          </wp14:sizeRelV>
        </wp:anchor>
      </w:drawing>
    </w:r>
    <w:r w:rsidR="00090434">
      <w:rPr>
        <w:rFonts w:ascii="Arial" w:hAnsi="Arial" w:cs="Arial"/>
        <w:color w:val="333333"/>
        <w:sz w:val="16"/>
        <w:szCs w:val="16"/>
      </w:rPr>
      <w:fldChar w:fldCharType="begin"/>
    </w:r>
    <w:r w:rsidR="00090434">
      <w:rPr>
        <w:rFonts w:ascii="Arial" w:hAnsi="Arial" w:cs="Arial"/>
        <w:color w:val="333333"/>
        <w:sz w:val="16"/>
        <w:szCs w:val="16"/>
      </w:rPr>
      <w:instrText>HYPERLINK "</w:instrText>
    </w:r>
    <w:r w:rsidR="00090434" w:rsidRPr="00090434">
      <w:rPr>
        <w:rFonts w:ascii="Arial" w:hAnsi="Arial" w:cs="Arial"/>
        <w:color w:val="333333"/>
        <w:sz w:val="16"/>
        <w:szCs w:val="16"/>
      </w:rPr>
      <w:instrText>Dieses Material steht unter der Creative-Commons-Lizenz Namensnennung – Weitergabe unter gleichen Bedingungen. Um eine Kopie dieser Lizenz zu sehen, besuchen Sie https://creativecommons.org/licenses/by-sa/4.0/deed.de</w:instrText>
    </w:r>
  </w:p>
  <w:p w14:paraId="56EB26BB" w14:textId="77777777" w:rsidR="00090434" w:rsidRPr="00F80D13" w:rsidRDefault="00090434" w:rsidP="0040731C">
    <w:pPr>
      <w:autoSpaceDE w:val="0"/>
      <w:autoSpaceDN w:val="0"/>
      <w:adjustRightInd w:val="0"/>
      <w:spacing w:after="0" w:line="240" w:lineRule="auto"/>
      <w:rPr>
        <w:rStyle w:val="Hyperlink"/>
        <w:rFonts w:ascii="DINPro" w:hAnsi="DINPro" w:cs="DINPro"/>
        <w:sz w:val="16"/>
        <w:szCs w:val="16"/>
      </w:rPr>
    </w:pPr>
    <w:r>
      <w:rPr>
        <w:rFonts w:ascii="Arial" w:hAnsi="Arial" w:cs="Arial"/>
        <w:color w:val="333333"/>
        <w:sz w:val="16"/>
        <w:szCs w:val="16"/>
      </w:rPr>
      <w:instrText>"</w:instrText>
    </w:r>
    <w:r>
      <w:rPr>
        <w:rFonts w:ascii="Arial" w:hAnsi="Arial" w:cs="Arial"/>
        <w:color w:val="333333"/>
        <w:sz w:val="16"/>
        <w:szCs w:val="16"/>
      </w:rPr>
    </w:r>
    <w:r>
      <w:rPr>
        <w:rFonts w:ascii="Arial" w:hAnsi="Arial" w:cs="Arial"/>
        <w:color w:val="333333"/>
        <w:sz w:val="16"/>
        <w:szCs w:val="16"/>
      </w:rPr>
      <w:fldChar w:fldCharType="separate"/>
    </w:r>
    <w:r w:rsidRPr="00F80D13">
      <w:rPr>
        <w:rStyle w:val="Hyperlink"/>
        <w:rFonts w:ascii="Arial" w:hAnsi="Arial" w:cs="Arial"/>
        <w:sz w:val="16"/>
        <w:szCs w:val="16"/>
      </w:rPr>
      <w:t>Dieses Material steht unter der Creative-Commons-Lizenz Namensnennung – Weitergabe unter gleichen Bedingungen. Um eine Kopie dieser Lizenz zu sehen, besuchen Sie https://creativecommons.org/licenses/by-sa/4.0/deed.de</w:t>
    </w:r>
  </w:p>
  <w:p w14:paraId="47BBBB70" w14:textId="1639A768" w:rsidR="00C20EF1" w:rsidRPr="00073A86" w:rsidRDefault="00090434">
    <w:pPr>
      <w:pStyle w:val="Fuzeile"/>
      <w:jc w:val="center"/>
      <w:rPr>
        <w:rFonts w:ascii="Arial" w:hAnsi="Arial" w:cs="Arial"/>
        <w:sz w:val="20"/>
        <w:szCs w:val="20"/>
      </w:rPr>
    </w:pPr>
    <w:r>
      <w:rPr>
        <w:rFonts w:ascii="Arial" w:hAnsi="Arial" w:cs="Arial"/>
        <w:color w:val="333333"/>
        <w:sz w:val="16"/>
        <w:szCs w:val="16"/>
      </w:rPr>
      <w:fldChar w:fldCharType="end"/>
    </w:r>
  </w:p>
  <w:p w14:paraId="08128671" w14:textId="77777777" w:rsidR="00C20EF1" w:rsidRDefault="00C20EF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8EFF0F" w14:textId="77777777" w:rsidR="00090434" w:rsidRDefault="0009043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4A7ECA" w14:textId="77777777" w:rsidR="00BE2A92" w:rsidRDefault="00BE2A92" w:rsidP="00014AE4">
      <w:pPr>
        <w:spacing w:after="0" w:line="240" w:lineRule="auto"/>
      </w:pPr>
      <w:r>
        <w:separator/>
      </w:r>
    </w:p>
  </w:footnote>
  <w:footnote w:type="continuationSeparator" w:id="0">
    <w:p w14:paraId="38297BD9" w14:textId="77777777" w:rsidR="00BE2A92" w:rsidRDefault="00BE2A92" w:rsidP="00014AE4">
      <w:pPr>
        <w:spacing w:after="0" w:line="240" w:lineRule="auto"/>
      </w:pPr>
      <w:r>
        <w:continuationSeparator/>
      </w:r>
    </w:p>
  </w:footnote>
  <w:footnote w:type="continuationNotice" w:id="1">
    <w:p w14:paraId="33133B60" w14:textId="77777777" w:rsidR="00BE2A92" w:rsidRDefault="00BE2A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0C157" w14:textId="77777777" w:rsidR="00090434" w:rsidRDefault="0009043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9CD14" w14:textId="77777777" w:rsidR="00C20EF1" w:rsidRDefault="00C20EF1">
    <w:pPr>
      <w:pStyle w:val="Kopfzeile"/>
    </w:pPr>
    <w:r w:rsidRPr="00B01655">
      <w:rPr>
        <w:rFonts w:ascii="Arial" w:eastAsia="Times New Roman" w:hAnsi="Arial" w:cs="Times New Roman"/>
        <w:noProof/>
        <w:color w:val="333333"/>
        <w:lang w:eastAsia="de-DE"/>
      </w:rPr>
      <mc:AlternateContent>
        <mc:Choice Requires="wps">
          <w:drawing>
            <wp:anchor distT="45720" distB="45720" distL="114300" distR="114300" simplePos="0" relativeHeight="251658241" behindDoc="0" locked="0" layoutInCell="1" allowOverlap="1" wp14:anchorId="3BD48D9A" wp14:editId="64492C07">
              <wp:simplePos x="0" y="0"/>
              <wp:positionH relativeFrom="rightMargin">
                <wp:posOffset>11430</wp:posOffset>
              </wp:positionH>
              <wp:positionV relativeFrom="paragraph">
                <wp:posOffset>459105</wp:posOffset>
              </wp:positionV>
              <wp:extent cx="771525" cy="1404620"/>
              <wp:effectExtent l="0" t="0" r="9525" b="254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solidFill>
                        <a:srgbClr val="FFFFFF"/>
                      </a:solidFill>
                      <a:ln w="9525">
                        <a:noFill/>
                        <a:miter lim="800000"/>
                        <a:headEnd/>
                        <a:tailEnd/>
                      </a:ln>
                    </wps:spPr>
                    <wps:txbx>
                      <w:txbxContent>
                        <w:p w14:paraId="3C70F3B8" w14:textId="46028183" w:rsidR="00C20EF1" w:rsidRPr="00AC2223" w:rsidRDefault="00C20EF1" w:rsidP="00C93D17">
                          <w:pPr>
                            <w:jc w:val="right"/>
                            <w:rPr>
                              <w:rFonts w:ascii="Arial" w:hAnsi="Arial" w:cs="Arial"/>
                              <w:i/>
                              <w:sz w:val="18"/>
                              <w:szCs w:val="18"/>
                            </w:rPr>
                          </w:pPr>
                          <w:hyperlink r:id="rId1" w:history="1">
                            <w:r w:rsidRPr="00866E53">
                              <w:rPr>
                                <w:rStyle w:val="Hyperlink"/>
                                <w:rFonts w:ascii="Arial" w:hAnsi="Arial" w:cs="Arial"/>
                                <w:i/>
                                <w:sz w:val="18"/>
                                <w:szCs w:val="18"/>
                              </w:rPr>
                              <w:t>wb-web</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shapetype id="_x0000_t202" coordsize="21600,21600" o:spt="202" path="m,l,21600r21600,l21600,xe" w14:anchorId="3BD48D9A">
              <v:stroke joinstyle="miter"/>
              <v:path gradientshapeok="t" o:connecttype="rect"/>
            </v:shapetype>
            <v:shape id="Textfeld 2" style="position:absolute;margin-left:.9pt;margin-top:36.15pt;width:60.75pt;height:110.6pt;z-index:251656704;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53tDQIAAPYDAAAOAAAAZHJzL2Uyb0RvYy54bWysU9tu2zAMfR+wfxD0vtgOkqY14hRdugwD&#10;ugvQ7QNkWY6FyaJGKbG7rx8lp2nQvQ3TgyCK5BF5eLS+HXvDjgq9BlvxYpZzpqyERtt9xX983727&#10;5swHYRthwKqKPynPbzdv36wHV6o5dGAahYxArC8HV/EuBFdmmZed6oWfgVOWnC1gLwKZuM8aFAOh&#10;9yab5/lVNgA2DkEq7+n2fnLyTcJvWyXD17b1KjBTcaotpB3TXsc926xFuUfhOi1PZYh/qKIX2tKj&#10;Z6h7EQQ7oP4LqtcSwUMbZhL6DNpWS5V6oG6K/FU3j51wKvVC5Hh3psn/P1j55fjoviEL43sYaYCp&#10;Ce8eQP70zMK2E3av7hBh6JRo6OEiUpYNzpen1Ei1L30EqYfP0NCQxSFAAhpb7CMr1CcjdBrA05l0&#10;NQYm6XK1KpbzJWeSXMUiX1zN01QyUT5nO/Tho4KexUPFkYaa0MXxwYdYjSifQ+JjHoxudtqYZOC+&#10;3hpkR0EC2KWVGngVZiwbKn4TC4lZFmJ+0kavAwnU6L7i13lck2QiGx9sk0KC0GY6UyXGnuiJjEzc&#10;hLEeKTDSVEPzREQhTEKkj0OHDvA3ZwOJsOL+10Gg4sx8skT2TbFYRNUmY7FcETUMLz31pUdYSVAV&#10;D5xNx21ISk88uDsayk4nvl4qOdVK4ko0nj5CVO+lnaJevuvmDwAAAP//AwBQSwMEFAAGAAgAAAAh&#10;APW42FHcAAAACAEAAA8AAABkcnMvZG93bnJldi54bWxMj81OwzAQhO9IvIO1SNyoQ6JCCXGqiooL&#10;ByQKEj268SaO8J9sNw1vz/ZEbzOa1cy3zXq2hk0Y0+idgPtFAQxd59XoBgFfn693K2ApS6ek8Q4F&#10;/GKCdXt91cha+ZP7wGmXB0YlLtVSgM451JynTqOVaeEDOsp6H63MZOPAVZQnKreGl0XxwK0cHS1o&#10;GfBFY/ezO1oB31aPahvf970y0/at3yzDHIMQtzfz5hlYxjn/H8MZn9ChJaaDPzqVmCFP4FnAY1kB&#10;O8dlReIgoHyqlsDbhl8+0P4BAAD//wMAUEsBAi0AFAAGAAgAAAAhALaDOJL+AAAA4QEAABMAAAAA&#10;AAAAAAAAAAAAAAAAAFtDb250ZW50X1R5cGVzXS54bWxQSwECLQAUAAYACAAAACEAOP0h/9YAAACU&#10;AQAACwAAAAAAAAAAAAAAAAAvAQAAX3JlbHMvLnJlbHNQSwECLQAUAAYACAAAACEATqOd7Q0CAAD2&#10;AwAADgAAAAAAAAAAAAAAAAAuAgAAZHJzL2Uyb0RvYy54bWxQSwECLQAUAAYACAAAACEA9bjYUdwA&#10;AAAIAQAADwAAAAAAAAAAAAAAAABnBAAAZHJzL2Rvd25yZXYueG1sUEsFBgAAAAAEAAQA8wAAAHAF&#10;AAAAAA==&#10;">
              <v:textbox style="mso-fit-shape-to-text:t">
                <w:txbxContent>
                  <w:p w:rsidRPr="00AC2223" w:rsidR="00C20EF1" w:rsidP="00C93D17" w:rsidRDefault="00000000" w14:paraId="3C70F3B8" w14:textId="46028183">
                    <w:pPr>
                      <w:jc w:val="right"/>
                      <w:rPr>
                        <w:rFonts w:ascii="Arial" w:hAnsi="Arial" w:cs="Arial"/>
                        <w:i/>
                        <w:sz w:val="18"/>
                        <w:szCs w:val="18"/>
                      </w:rPr>
                    </w:pPr>
                    <w:hyperlink w:history="1" r:id="rId2">
                      <w:r w:rsidRPr="00866E53" w:rsidR="00C20EF1">
                        <w:rPr>
                          <w:rStyle w:val="Hyperlink"/>
                          <w:rFonts w:ascii="Arial" w:hAnsi="Arial" w:cs="Arial"/>
                          <w:i/>
                          <w:sz w:val="18"/>
                          <w:szCs w:val="18"/>
                        </w:rPr>
                        <w:t>wb-web</w:t>
                      </w:r>
                    </w:hyperlink>
                  </w:p>
                </w:txbxContent>
              </v:textbox>
              <w10:wrap anchorx="margin"/>
            </v:shape>
          </w:pict>
        </mc:Fallback>
      </mc:AlternateContent>
    </w:r>
    <w:r>
      <w:rPr>
        <w:noProof/>
        <w:lang w:eastAsia="de-DE"/>
      </w:rPr>
      <w:drawing>
        <wp:anchor distT="0" distB="0" distL="114300" distR="114300" simplePos="0" relativeHeight="251658240" behindDoc="0" locked="0" layoutInCell="1" allowOverlap="1" wp14:anchorId="662AF5A3" wp14:editId="191E5A0A">
          <wp:simplePos x="0" y="0"/>
          <wp:positionH relativeFrom="column">
            <wp:posOffset>-895350</wp:posOffset>
          </wp:positionH>
          <wp:positionV relativeFrom="paragraph">
            <wp:posOffset>-443865</wp:posOffset>
          </wp:positionV>
          <wp:extent cx="7553325" cy="895350"/>
          <wp:effectExtent l="0" t="0" r="9525" b="0"/>
          <wp:wrapNone/>
          <wp:docPr id="11" name="Bild 1"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eader.jpg"/>
                  <pic:cNvPicPr>
                    <a:picLocks noChangeAspect="1" noChangeArrowheads="1"/>
                  </pic:cNvPicPr>
                </pic:nvPicPr>
                <pic:blipFill>
                  <a:blip r:embed="rId3">
                    <a:extLst>
                      <a:ext uri="{28A0092B-C50C-407E-A947-70E740481C1C}">
                        <a14:useLocalDpi xmlns:a14="http://schemas.microsoft.com/office/drawing/2010/main" val="0"/>
                      </a:ext>
                    </a:extLst>
                  </a:blip>
                  <a:srcRect r="25595" b="50865"/>
                  <a:stretch>
                    <a:fillRect/>
                  </a:stretch>
                </pic:blipFill>
                <pic:spPr bwMode="auto">
                  <a:xfrm>
                    <a:off x="0" y="0"/>
                    <a:ext cx="7553325" cy="895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35E0D" w14:textId="77777777" w:rsidR="00090434" w:rsidRDefault="0009043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3403F"/>
    <w:multiLevelType w:val="hybridMultilevel"/>
    <w:tmpl w:val="F5FEBC8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01460FD0"/>
    <w:multiLevelType w:val="hybridMultilevel"/>
    <w:tmpl w:val="84DE978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D8067B"/>
    <w:multiLevelType w:val="hybridMultilevel"/>
    <w:tmpl w:val="A1DAD40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244D54BA"/>
    <w:multiLevelType w:val="hybridMultilevel"/>
    <w:tmpl w:val="459E190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38803F40"/>
    <w:multiLevelType w:val="hybridMultilevel"/>
    <w:tmpl w:val="98E2AD3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07B57D3"/>
    <w:multiLevelType w:val="multilevel"/>
    <w:tmpl w:val="2610A288"/>
    <w:lvl w:ilvl="0">
      <w:start w:val="1"/>
      <w:numFmt w:val="bullet"/>
      <w:lvlText w:val=""/>
      <w:lvlJc w:val="left"/>
      <w:pPr>
        <w:ind w:left="720" w:firstLine="360"/>
      </w:pPr>
      <w:rPr>
        <w:rFonts w:ascii="Symbol" w:hAnsi="Symbol"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530F3A03"/>
    <w:multiLevelType w:val="hybridMultilevel"/>
    <w:tmpl w:val="A078894C"/>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B5C2909"/>
    <w:multiLevelType w:val="hybridMultilevel"/>
    <w:tmpl w:val="86804B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06600AB"/>
    <w:multiLevelType w:val="hybridMultilevel"/>
    <w:tmpl w:val="47028C9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2540B28"/>
    <w:multiLevelType w:val="hybridMultilevel"/>
    <w:tmpl w:val="3A94CFDE"/>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0" w15:restartNumberingAfterBreak="0">
    <w:nsid w:val="67DD5C0D"/>
    <w:multiLevelType w:val="hybridMultilevel"/>
    <w:tmpl w:val="5A70E4B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371298834">
    <w:abstractNumId w:val="8"/>
  </w:num>
  <w:num w:numId="2" w16cid:durableId="746806970">
    <w:abstractNumId w:val="1"/>
  </w:num>
  <w:num w:numId="3" w16cid:durableId="1071780716">
    <w:abstractNumId w:val="9"/>
  </w:num>
  <w:num w:numId="4" w16cid:durableId="340401180">
    <w:abstractNumId w:val="5"/>
  </w:num>
  <w:num w:numId="5" w16cid:durableId="881598697">
    <w:abstractNumId w:val="2"/>
  </w:num>
  <w:num w:numId="6" w16cid:durableId="2093626395">
    <w:abstractNumId w:val="6"/>
  </w:num>
  <w:num w:numId="7" w16cid:durableId="771784589">
    <w:abstractNumId w:val="7"/>
  </w:num>
  <w:num w:numId="8" w16cid:durableId="110898317">
    <w:abstractNumId w:val="3"/>
  </w:num>
  <w:num w:numId="9" w16cid:durableId="1474374394">
    <w:abstractNumId w:val="0"/>
  </w:num>
  <w:num w:numId="10" w16cid:durableId="693381770">
    <w:abstractNumId w:val="4"/>
  </w:num>
  <w:num w:numId="11" w16cid:durableId="1956252646">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57"/>
    <w:rsid w:val="000014FD"/>
    <w:rsid w:val="00012057"/>
    <w:rsid w:val="00014AE4"/>
    <w:rsid w:val="0003682D"/>
    <w:rsid w:val="00043539"/>
    <w:rsid w:val="00055254"/>
    <w:rsid w:val="00073A86"/>
    <w:rsid w:val="00090434"/>
    <w:rsid w:val="00097499"/>
    <w:rsid w:val="000A631B"/>
    <w:rsid w:val="000B33D4"/>
    <w:rsid w:val="000E619B"/>
    <w:rsid w:val="00154B63"/>
    <w:rsid w:val="00160D34"/>
    <w:rsid w:val="00172672"/>
    <w:rsid w:val="00184D2F"/>
    <w:rsid w:val="001C43DE"/>
    <w:rsid w:val="001D7A0C"/>
    <w:rsid w:val="00212CE2"/>
    <w:rsid w:val="0022714B"/>
    <w:rsid w:val="002311FA"/>
    <w:rsid w:val="00247A89"/>
    <w:rsid w:val="00252C32"/>
    <w:rsid w:val="0026602B"/>
    <w:rsid w:val="002B431B"/>
    <w:rsid w:val="002B7AE1"/>
    <w:rsid w:val="002B7B20"/>
    <w:rsid w:val="003071B5"/>
    <w:rsid w:val="0031708C"/>
    <w:rsid w:val="00327355"/>
    <w:rsid w:val="003277CC"/>
    <w:rsid w:val="00333725"/>
    <w:rsid w:val="00360C3F"/>
    <w:rsid w:val="003652A6"/>
    <w:rsid w:val="00366444"/>
    <w:rsid w:val="00372E70"/>
    <w:rsid w:val="003B00B1"/>
    <w:rsid w:val="003B72B2"/>
    <w:rsid w:val="003E319B"/>
    <w:rsid w:val="0040731C"/>
    <w:rsid w:val="0041295D"/>
    <w:rsid w:val="00434DAD"/>
    <w:rsid w:val="0047649E"/>
    <w:rsid w:val="00484F09"/>
    <w:rsid w:val="00492E6F"/>
    <w:rsid w:val="004957C2"/>
    <w:rsid w:val="004A2070"/>
    <w:rsid w:val="004B33AC"/>
    <w:rsid w:val="00527C57"/>
    <w:rsid w:val="005328AC"/>
    <w:rsid w:val="00546890"/>
    <w:rsid w:val="00583DC6"/>
    <w:rsid w:val="0058787C"/>
    <w:rsid w:val="005A1DD2"/>
    <w:rsid w:val="005B2946"/>
    <w:rsid w:val="005C650B"/>
    <w:rsid w:val="00621195"/>
    <w:rsid w:val="0062161D"/>
    <w:rsid w:val="00682600"/>
    <w:rsid w:val="006C07CC"/>
    <w:rsid w:val="006D2AF4"/>
    <w:rsid w:val="00723B4B"/>
    <w:rsid w:val="00726C8F"/>
    <w:rsid w:val="0074434B"/>
    <w:rsid w:val="007B0F48"/>
    <w:rsid w:val="007F6F01"/>
    <w:rsid w:val="00801BE1"/>
    <w:rsid w:val="008276AC"/>
    <w:rsid w:val="00836189"/>
    <w:rsid w:val="0086412D"/>
    <w:rsid w:val="00866E53"/>
    <w:rsid w:val="00875289"/>
    <w:rsid w:val="00894E64"/>
    <w:rsid w:val="008B0E78"/>
    <w:rsid w:val="008D00C4"/>
    <w:rsid w:val="008F3ECD"/>
    <w:rsid w:val="00927D64"/>
    <w:rsid w:val="00932967"/>
    <w:rsid w:val="00940438"/>
    <w:rsid w:val="009536BB"/>
    <w:rsid w:val="00972975"/>
    <w:rsid w:val="00987AC5"/>
    <w:rsid w:val="0099639D"/>
    <w:rsid w:val="009A290B"/>
    <w:rsid w:val="009A3012"/>
    <w:rsid w:val="009A58F1"/>
    <w:rsid w:val="009A797B"/>
    <w:rsid w:val="00A46E28"/>
    <w:rsid w:val="00A63C85"/>
    <w:rsid w:val="00A6496C"/>
    <w:rsid w:val="00AC2223"/>
    <w:rsid w:val="00B01655"/>
    <w:rsid w:val="00B26B12"/>
    <w:rsid w:val="00B812A5"/>
    <w:rsid w:val="00B94EB4"/>
    <w:rsid w:val="00B9780C"/>
    <w:rsid w:val="00BB1C70"/>
    <w:rsid w:val="00BB6981"/>
    <w:rsid w:val="00BC1B12"/>
    <w:rsid w:val="00BC2391"/>
    <w:rsid w:val="00BD5794"/>
    <w:rsid w:val="00BE2A92"/>
    <w:rsid w:val="00BF1FB0"/>
    <w:rsid w:val="00C07190"/>
    <w:rsid w:val="00C20EF1"/>
    <w:rsid w:val="00C315A0"/>
    <w:rsid w:val="00C322B8"/>
    <w:rsid w:val="00C4615B"/>
    <w:rsid w:val="00C93D17"/>
    <w:rsid w:val="00CF16B5"/>
    <w:rsid w:val="00CF3FA4"/>
    <w:rsid w:val="00D04D28"/>
    <w:rsid w:val="00D215A2"/>
    <w:rsid w:val="00D33A98"/>
    <w:rsid w:val="00D65235"/>
    <w:rsid w:val="00D71932"/>
    <w:rsid w:val="00D830D5"/>
    <w:rsid w:val="00DD0A88"/>
    <w:rsid w:val="00DD7B7C"/>
    <w:rsid w:val="00E00710"/>
    <w:rsid w:val="00E53294"/>
    <w:rsid w:val="00E5546C"/>
    <w:rsid w:val="00E744F6"/>
    <w:rsid w:val="00E84DD0"/>
    <w:rsid w:val="00ED28DD"/>
    <w:rsid w:val="00EF554C"/>
    <w:rsid w:val="00F04EC9"/>
    <w:rsid w:val="00F3380E"/>
    <w:rsid w:val="00F471E1"/>
    <w:rsid w:val="00F5698F"/>
    <w:rsid w:val="00F644FD"/>
    <w:rsid w:val="00FA7C6D"/>
    <w:rsid w:val="00FC3732"/>
    <w:rsid w:val="00FD4313"/>
    <w:rsid w:val="46F98985"/>
    <w:rsid w:val="6BBE12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1AB83"/>
  <w15:chartTrackingRefBased/>
  <w15:docId w15:val="{73C80F9C-3A1B-4481-B653-6360E8936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FB0"/>
  </w:style>
  <w:style w:type="paragraph" w:styleId="berschrift1">
    <w:name w:val="heading 1"/>
    <w:basedOn w:val="Standard"/>
    <w:link w:val="berschrift1Zchn"/>
    <w:uiPriority w:val="9"/>
    <w:qFormat/>
    <w:rsid w:val="00BF1F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09043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4AE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4AE4"/>
  </w:style>
  <w:style w:type="paragraph" w:styleId="Fuzeile">
    <w:name w:val="footer"/>
    <w:basedOn w:val="Standard"/>
    <w:link w:val="FuzeileZchn"/>
    <w:uiPriority w:val="99"/>
    <w:unhideWhenUsed/>
    <w:rsid w:val="00014AE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4AE4"/>
  </w:style>
  <w:style w:type="character" w:customStyle="1" w:styleId="berschrift1Zchn">
    <w:name w:val="Überschrift 1 Zchn"/>
    <w:basedOn w:val="Absatz-Standardschriftart"/>
    <w:link w:val="berschrift1"/>
    <w:uiPriority w:val="9"/>
    <w:rsid w:val="00BF1FB0"/>
    <w:rPr>
      <w:rFonts w:ascii="Times New Roman" w:eastAsia="Times New Roman" w:hAnsi="Times New Roman" w:cs="Times New Roman"/>
      <w:b/>
      <w:bCs/>
      <w:kern w:val="36"/>
      <w:sz w:val="48"/>
      <w:szCs w:val="48"/>
      <w:lang w:eastAsia="de-DE"/>
    </w:rPr>
  </w:style>
  <w:style w:type="character" w:styleId="Hyperlink">
    <w:name w:val="Hyperlink"/>
    <w:basedOn w:val="Absatz-Standardschriftart"/>
    <w:uiPriority w:val="99"/>
    <w:unhideWhenUsed/>
    <w:rsid w:val="00BF1FB0"/>
    <w:rPr>
      <w:color w:val="0000FF" w:themeColor="hyperlink"/>
      <w:u w:val="single"/>
    </w:rPr>
  </w:style>
  <w:style w:type="paragraph" w:styleId="Listenabsatz">
    <w:name w:val="List Paragraph"/>
    <w:basedOn w:val="Standard"/>
    <w:uiPriority w:val="34"/>
    <w:qFormat/>
    <w:rsid w:val="00BF1FB0"/>
    <w:pPr>
      <w:ind w:left="720"/>
      <w:contextualSpacing/>
    </w:pPr>
  </w:style>
  <w:style w:type="paragraph" w:customStyle="1" w:styleId="Standard1">
    <w:name w:val="Standard1"/>
    <w:rsid w:val="009536BB"/>
    <w:pPr>
      <w:spacing w:after="0"/>
    </w:pPr>
    <w:rPr>
      <w:rFonts w:ascii="Arial" w:eastAsia="Arial" w:hAnsi="Arial" w:cs="Arial"/>
      <w:color w:val="000000"/>
      <w:lang w:eastAsia="de-DE"/>
    </w:rPr>
  </w:style>
  <w:style w:type="character" w:styleId="Kommentarzeichen">
    <w:name w:val="annotation reference"/>
    <w:basedOn w:val="Absatz-Standardschriftart"/>
    <w:uiPriority w:val="99"/>
    <w:semiHidden/>
    <w:unhideWhenUsed/>
    <w:rsid w:val="002B431B"/>
    <w:rPr>
      <w:sz w:val="16"/>
      <w:szCs w:val="16"/>
    </w:rPr>
  </w:style>
  <w:style w:type="paragraph" w:styleId="Kommentartext">
    <w:name w:val="annotation text"/>
    <w:basedOn w:val="Standard"/>
    <w:link w:val="KommentartextZchn"/>
    <w:uiPriority w:val="99"/>
    <w:semiHidden/>
    <w:unhideWhenUsed/>
    <w:rsid w:val="002B431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B431B"/>
    <w:rPr>
      <w:sz w:val="20"/>
      <w:szCs w:val="20"/>
    </w:rPr>
  </w:style>
  <w:style w:type="paragraph" w:styleId="Kommentarthema">
    <w:name w:val="annotation subject"/>
    <w:basedOn w:val="Kommentartext"/>
    <w:next w:val="Kommentartext"/>
    <w:link w:val="KommentarthemaZchn"/>
    <w:uiPriority w:val="99"/>
    <w:semiHidden/>
    <w:unhideWhenUsed/>
    <w:rsid w:val="002B431B"/>
    <w:rPr>
      <w:b/>
      <w:bCs/>
    </w:rPr>
  </w:style>
  <w:style w:type="character" w:customStyle="1" w:styleId="KommentarthemaZchn">
    <w:name w:val="Kommentarthema Zchn"/>
    <w:basedOn w:val="KommentartextZchn"/>
    <w:link w:val="Kommentarthema"/>
    <w:uiPriority w:val="99"/>
    <w:semiHidden/>
    <w:rsid w:val="002B431B"/>
    <w:rPr>
      <w:b/>
      <w:bCs/>
      <w:sz w:val="20"/>
      <w:szCs w:val="20"/>
    </w:rPr>
  </w:style>
  <w:style w:type="paragraph" w:styleId="Sprechblasentext">
    <w:name w:val="Balloon Text"/>
    <w:basedOn w:val="Standard"/>
    <w:link w:val="SprechblasentextZchn"/>
    <w:uiPriority w:val="99"/>
    <w:semiHidden/>
    <w:unhideWhenUsed/>
    <w:rsid w:val="002B431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B431B"/>
    <w:rPr>
      <w:rFonts w:ascii="Segoe UI" w:hAnsi="Segoe UI" w:cs="Segoe UI"/>
      <w:sz w:val="18"/>
      <w:szCs w:val="18"/>
    </w:rPr>
  </w:style>
  <w:style w:type="character" w:styleId="NichtaufgelsteErwhnung">
    <w:name w:val="Unresolved Mention"/>
    <w:basedOn w:val="Absatz-Standardschriftart"/>
    <w:uiPriority w:val="99"/>
    <w:semiHidden/>
    <w:unhideWhenUsed/>
    <w:rsid w:val="0041295D"/>
    <w:rPr>
      <w:color w:val="808080"/>
      <w:shd w:val="clear" w:color="auto" w:fill="E6E6E6"/>
    </w:rPr>
  </w:style>
  <w:style w:type="paragraph" w:styleId="berarbeitung">
    <w:name w:val="Revision"/>
    <w:hidden/>
    <w:uiPriority w:val="99"/>
    <w:semiHidden/>
    <w:rsid w:val="00866E53"/>
    <w:pPr>
      <w:spacing w:after="0" w:line="240" w:lineRule="auto"/>
    </w:pPr>
  </w:style>
  <w:style w:type="character" w:styleId="BesuchterLink">
    <w:name w:val="FollowedHyperlink"/>
    <w:basedOn w:val="Absatz-Standardschriftart"/>
    <w:uiPriority w:val="99"/>
    <w:semiHidden/>
    <w:unhideWhenUsed/>
    <w:rsid w:val="00B9780C"/>
    <w:rPr>
      <w:color w:val="800080" w:themeColor="followedHyperlink"/>
      <w:u w:val="single"/>
    </w:rPr>
  </w:style>
  <w:style w:type="paragraph" w:styleId="StandardWeb">
    <w:name w:val="Normal (Web)"/>
    <w:basedOn w:val="Standard"/>
    <w:uiPriority w:val="99"/>
    <w:unhideWhenUsed/>
    <w:rsid w:val="009A301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9A3012"/>
    <w:rPr>
      <w:b/>
      <w:bCs/>
    </w:rPr>
  </w:style>
  <w:style w:type="paragraph" w:styleId="Beschriftung">
    <w:name w:val="caption"/>
    <w:basedOn w:val="Standard"/>
    <w:next w:val="Standard"/>
    <w:uiPriority w:val="35"/>
    <w:unhideWhenUsed/>
    <w:qFormat/>
    <w:rsid w:val="001C43DE"/>
    <w:pPr>
      <w:spacing w:line="240" w:lineRule="auto"/>
    </w:pPr>
    <w:rPr>
      <w:i/>
      <w:iCs/>
      <w:color w:val="1F497D" w:themeColor="text2"/>
      <w:sz w:val="18"/>
      <w:szCs w:val="18"/>
    </w:rPr>
  </w:style>
  <w:style w:type="character" w:customStyle="1" w:styleId="berschrift2Zchn">
    <w:name w:val="Überschrift 2 Zchn"/>
    <w:basedOn w:val="Absatz-Standardschriftart"/>
    <w:link w:val="berschrift2"/>
    <w:uiPriority w:val="9"/>
    <w:rsid w:val="0009043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3381216">
      <w:bodyDiv w:val="1"/>
      <w:marLeft w:val="0"/>
      <w:marRight w:val="0"/>
      <w:marTop w:val="0"/>
      <w:marBottom w:val="0"/>
      <w:divBdr>
        <w:top w:val="none" w:sz="0" w:space="0" w:color="auto"/>
        <w:left w:val="none" w:sz="0" w:space="0" w:color="auto"/>
        <w:bottom w:val="none" w:sz="0" w:space="0" w:color="auto"/>
        <w:right w:val="none" w:sz="0" w:space="0" w:color="auto"/>
      </w:divBdr>
    </w:div>
    <w:div w:id="157970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hs-nrw.de/wp-content/uploads/2024/04/20240410_Handreichung-Resilienz_Lay5.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b-web.de/aktuelles/heterogenitaet-als-ressource.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reativecommons.org/licenses/by-sa/4.0/deed.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b-web.de/material/beratung/resilienz-staerkende-angebote-in-der-weiterbildung.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sa/4.0/deed.de"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s://wb-web.de/" TargetMode="External"/><Relationship Id="rId1" Type="http://schemas.openxmlformats.org/officeDocument/2006/relationships/hyperlink" Target="https://wb-web.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ba72f6-2060-4661-9cfe-97e4e2f7da5f">
      <Terms xmlns="http://schemas.microsoft.com/office/infopath/2007/PartnerControls"/>
    </lcf76f155ced4ddcb4097134ff3c332f>
    <TaxCatchAll xmlns="dd9e0e75-209e-44b8-975e-d4794545e8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A9B8B4F5E637F43AF8AED62ED19A79E" ma:contentTypeVersion="18" ma:contentTypeDescription="Ein neues Dokument erstellen." ma:contentTypeScope="" ma:versionID="5389132632ca22c2a7144df96acb6617">
  <xsd:schema xmlns:xsd="http://www.w3.org/2001/XMLSchema" xmlns:xs="http://www.w3.org/2001/XMLSchema" xmlns:p="http://schemas.microsoft.com/office/2006/metadata/properties" xmlns:ns2="1bba72f6-2060-4661-9cfe-97e4e2f7da5f" xmlns:ns3="dd9e0e75-209e-44b8-975e-d4794545e8e4" targetNamespace="http://schemas.microsoft.com/office/2006/metadata/properties" ma:root="true" ma:fieldsID="7b1d2a1f9ccc0045eb75c38c5a43cc18" ns2:_="" ns3:_="">
    <xsd:import namespace="1bba72f6-2060-4661-9cfe-97e4e2f7da5f"/>
    <xsd:import namespace="dd9e0e75-209e-44b8-975e-d4794545e8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a72f6-2060-4661-9cfe-97e4e2f7d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7db0bd3c-7ed0-4f4b-94bf-933411465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e0e75-209e-44b8-975e-d4794545e8e4"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a8d46ec-d00a-4989-b33b-4ba017194e0f}" ma:internalName="TaxCatchAll" ma:showField="CatchAllData" ma:web="dd9e0e75-209e-44b8-975e-d4794545e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3F22CF-3353-434A-B1FE-A34F5CBA22C9}">
  <ds:schemaRefs>
    <ds:schemaRef ds:uri="http://schemas.microsoft.com/office/2006/metadata/properties"/>
    <ds:schemaRef ds:uri="http://schemas.microsoft.com/office/infopath/2007/PartnerControls"/>
    <ds:schemaRef ds:uri="1bba72f6-2060-4661-9cfe-97e4e2f7da5f"/>
    <ds:schemaRef ds:uri="dd9e0e75-209e-44b8-975e-d4794545e8e4"/>
  </ds:schemaRefs>
</ds:datastoreItem>
</file>

<file path=customXml/itemProps2.xml><?xml version="1.0" encoding="utf-8"?>
<ds:datastoreItem xmlns:ds="http://schemas.openxmlformats.org/officeDocument/2006/customXml" ds:itemID="{872EC98C-0190-47FE-9C46-85EB16A9191E}">
  <ds:schemaRefs>
    <ds:schemaRef ds:uri="http://schemas.microsoft.com/sharepoint/v3/contenttype/forms"/>
  </ds:schemaRefs>
</ds:datastoreItem>
</file>

<file path=customXml/itemProps3.xml><?xml version="1.0" encoding="utf-8"?>
<ds:datastoreItem xmlns:ds="http://schemas.openxmlformats.org/officeDocument/2006/customXml" ds:itemID="{3C56E8E8-3970-4730-BF98-9D125ED334F1}">
  <ds:schemaRefs>
    <ds:schemaRef ds:uri="http://schemas.openxmlformats.org/officeDocument/2006/bibliography"/>
  </ds:schemaRefs>
</ds:datastoreItem>
</file>

<file path=customXml/itemProps4.xml><?xml version="1.0" encoding="utf-8"?>
<ds:datastoreItem xmlns:ds="http://schemas.openxmlformats.org/officeDocument/2006/customXml" ds:itemID="{F82C1EEF-1F80-4839-B497-461F951D0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a72f6-2060-4661-9cfe-97e4e2f7da5f"/>
    <ds:schemaRef ds:uri="dd9e0e75-209e-44b8-975e-d4794545e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3810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Deutsches Institut für Erwachsenenbildung e. V.</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Kahle, Regina</dc:creator>
  <cp:keywords/>
  <dc:description/>
  <cp:lastModifiedBy>Kilian, Lars</cp:lastModifiedBy>
  <cp:revision>3</cp:revision>
  <cp:lastPrinted>2026-09-24T13:53:00Z</cp:lastPrinted>
  <dcterms:created xsi:type="dcterms:W3CDTF">2026-09-24T13:53:00Z</dcterms:created>
  <dcterms:modified xsi:type="dcterms:W3CDTF">2026-09-24T13:53:00Z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0x010100DA9B8B4F5E637F43AF8AED62ED19A79E</vt:lpwstr>
  </property>
  <property fmtid="{D5CDD505-2E9C-101B-9397-08002B2CF9AE}" pid="3" name="MediaServiceImageTags">
    <vt:lpwstr/>
  </property>
</Properties>
</file>