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88498" w14:textId="77777777" w:rsidR="0066098A" w:rsidRDefault="0066098A" w:rsidP="009A3012">
      <w:pPr>
        <w:pStyle w:val="StandardWeb"/>
        <w:shd w:val="clear" w:color="auto" w:fill="FFFFFF"/>
        <w:spacing w:before="0" w:beforeAutospacing="0" w:after="0" w:afterAutospacing="0" w:line="276" w:lineRule="auto"/>
        <w:rPr>
          <w:rFonts w:ascii="Arial" w:eastAsiaTheme="minorHAnsi" w:hAnsi="Arial" w:cs="Arial"/>
          <w:b/>
          <w:color w:val="0049A2"/>
          <w:sz w:val="32"/>
          <w:szCs w:val="22"/>
          <w:lang w:eastAsia="en-US"/>
        </w:rPr>
      </w:pPr>
      <w:r>
        <w:rPr>
          <w:rFonts w:ascii="Arial" w:eastAsiaTheme="minorHAnsi" w:hAnsi="Arial" w:cs="Arial"/>
          <w:b/>
          <w:color w:val="0049A2"/>
          <w:sz w:val="32"/>
          <w:szCs w:val="22"/>
          <w:lang w:eastAsia="en-US"/>
        </w:rPr>
        <w:t>Digiversity</w:t>
      </w:r>
    </w:p>
    <w:p w14:paraId="717E4AFF" w14:textId="77777777" w:rsidR="00666927" w:rsidRPr="00666927" w:rsidRDefault="00666927" w:rsidP="009A3012">
      <w:pPr>
        <w:pStyle w:val="StandardWeb"/>
        <w:shd w:val="clear" w:color="auto" w:fill="FFFFFF"/>
        <w:spacing w:before="0" w:beforeAutospacing="0" w:after="0" w:afterAutospacing="0" w:line="276" w:lineRule="auto"/>
        <w:rPr>
          <w:rFonts w:ascii="Arial" w:eastAsiaTheme="minorHAnsi" w:hAnsi="Arial" w:cs="Arial"/>
          <w:b/>
          <w:color w:val="0049A2"/>
          <w:szCs w:val="18"/>
          <w:lang w:eastAsia="en-US"/>
        </w:rPr>
      </w:pPr>
      <w:r w:rsidRPr="00666927">
        <w:rPr>
          <w:rFonts w:ascii="Arial" w:eastAsiaTheme="minorHAnsi" w:hAnsi="Arial" w:cs="Arial"/>
          <w:b/>
          <w:color w:val="0049A2"/>
          <w:szCs w:val="18"/>
          <w:lang w:eastAsia="en-US"/>
        </w:rPr>
        <w:t xml:space="preserve">Entwicklung von Kompetenzen für eine demokratische Kultur durch non-formales Online-Lernen. Handbuch für Trainer:innen. </w:t>
      </w:r>
    </w:p>
    <w:p w14:paraId="31A94C89" w14:textId="46C30B56" w:rsidR="00666927" w:rsidRDefault="00CF3FE9" w:rsidP="003B72B2">
      <w:pPr>
        <w:rPr>
          <w:rFonts w:ascii="Arial" w:hAnsi="Arial" w:cs="Arial"/>
          <w:b/>
        </w:rPr>
      </w:pPr>
      <w:r w:rsidRPr="002A2822">
        <w:rPr>
          <w:rFonts w:ascii="Arial" w:hAnsi="Arial" w:cs="Arial"/>
          <w:noProof/>
        </w:rPr>
        <w:drawing>
          <wp:anchor distT="0" distB="0" distL="114300" distR="114300" simplePos="0" relativeHeight="251659264" behindDoc="1" locked="0" layoutInCell="1" allowOverlap="1" wp14:anchorId="7D5D2B02" wp14:editId="4B55B963">
            <wp:simplePos x="0" y="0"/>
            <wp:positionH relativeFrom="margin">
              <wp:align>left</wp:align>
            </wp:positionH>
            <wp:positionV relativeFrom="paragraph">
              <wp:posOffset>312420</wp:posOffset>
            </wp:positionV>
            <wp:extent cx="2466975" cy="1677670"/>
            <wp:effectExtent l="0" t="0" r="0" b="0"/>
            <wp:wrapTight wrapText="bothSides">
              <wp:wrapPolygon edited="0">
                <wp:start x="0" y="0"/>
                <wp:lineTo x="0" y="21338"/>
                <wp:lineTo x="21350" y="21338"/>
                <wp:lineTo x="21350" y="0"/>
                <wp:lineTo x="0" y="0"/>
              </wp:wrapPolygon>
            </wp:wrapTight>
            <wp:docPr id="837967239" name="Grafik 1" descr="Screenshot der Handbuchdeck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7239" name="Grafik 1" descr="Screenshot der Handbuchdeckel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8340" cy="1678894"/>
                    </a:xfrm>
                    <a:prstGeom prst="rect">
                      <a:avLst/>
                    </a:prstGeom>
                  </pic:spPr>
                </pic:pic>
              </a:graphicData>
            </a:graphic>
            <wp14:sizeRelH relativeFrom="margin">
              <wp14:pctWidth>0</wp14:pctWidth>
            </wp14:sizeRelH>
            <wp14:sizeRelV relativeFrom="margin">
              <wp14:pctHeight>0</wp14:pctHeight>
            </wp14:sizeRelV>
          </wp:anchor>
        </w:drawing>
      </w:r>
    </w:p>
    <w:p w14:paraId="139D1189" w14:textId="282C4178" w:rsidR="00BF1FB0" w:rsidRDefault="00C5291C" w:rsidP="003B72B2">
      <w:pPr>
        <w:rPr>
          <w:rFonts w:ascii="Arial" w:hAnsi="Arial" w:cs="Arial"/>
          <w:b/>
          <w:bCs/>
        </w:rPr>
      </w:pPr>
      <w:r>
        <w:rPr>
          <w:noProof/>
        </w:rPr>
        <mc:AlternateContent>
          <mc:Choice Requires="wps">
            <w:drawing>
              <wp:anchor distT="0" distB="0" distL="114300" distR="114300" simplePos="0" relativeHeight="251661312" behindDoc="1" locked="0" layoutInCell="1" allowOverlap="1" wp14:anchorId="43DA606D" wp14:editId="27F1AC34">
                <wp:simplePos x="0" y="0"/>
                <wp:positionH relativeFrom="column">
                  <wp:posOffset>-2540</wp:posOffset>
                </wp:positionH>
                <wp:positionV relativeFrom="paragraph">
                  <wp:posOffset>1696720</wp:posOffset>
                </wp:positionV>
                <wp:extent cx="2409825" cy="635"/>
                <wp:effectExtent l="0" t="0" r="0" b="0"/>
                <wp:wrapTight wrapText="bothSides">
                  <wp:wrapPolygon edited="0">
                    <wp:start x="0" y="0"/>
                    <wp:lineTo x="0" y="21600"/>
                    <wp:lineTo x="21600" y="21600"/>
                    <wp:lineTo x="21600" y="0"/>
                  </wp:wrapPolygon>
                </wp:wrapTight>
                <wp:docPr id="199436518" name="Textfeld 1"/>
                <wp:cNvGraphicFramePr/>
                <a:graphic xmlns:a="http://schemas.openxmlformats.org/drawingml/2006/main">
                  <a:graphicData uri="http://schemas.microsoft.com/office/word/2010/wordprocessingShape">
                    <wps:wsp>
                      <wps:cNvSpPr txBox="1"/>
                      <wps:spPr>
                        <a:xfrm>
                          <a:off x="0" y="0"/>
                          <a:ext cx="2409825" cy="635"/>
                        </a:xfrm>
                        <a:prstGeom prst="rect">
                          <a:avLst/>
                        </a:prstGeom>
                        <a:solidFill>
                          <a:prstClr val="white"/>
                        </a:solidFill>
                        <a:ln>
                          <a:noFill/>
                        </a:ln>
                      </wps:spPr>
                      <wps:txbx>
                        <w:txbxContent>
                          <w:p w14:paraId="0BFC5CB7" w14:textId="52699CCF" w:rsidR="00C5291C" w:rsidRPr="00D207D4" w:rsidRDefault="00C5291C" w:rsidP="00C5291C">
                            <w:pPr>
                              <w:pStyle w:val="Beschriftung"/>
                              <w:rPr>
                                <w:rFonts w:ascii="Arial" w:hAnsi="Arial" w:cs="Arial"/>
                                <w:sz w:val="22"/>
                                <w:szCs w:val="22"/>
                              </w:rPr>
                            </w:pPr>
                            <w:r>
                              <w:t xml:space="preserve">Abbildung </w:t>
                            </w:r>
                            <w:fldSimple w:instr=" SEQ Abbildung \* ARABIC ">
                              <w:r w:rsidR="004B6877">
                                <w:rPr>
                                  <w:noProof/>
                                </w:rPr>
                                <w:t>1</w:t>
                              </w:r>
                            </w:fldSimple>
                            <w:r>
                              <w:t xml:space="preserve"> </w:t>
                            </w:r>
                            <w:r w:rsidR="001E63BD">
                              <w:t>Cover des Handbuchs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3DA606D" id="_x0000_t202" coordsize="21600,21600" o:spt="202" path="m,l,21600r21600,l21600,xe">
                <v:stroke joinstyle="miter"/>
                <v:path gradientshapeok="t" o:connecttype="rect"/>
              </v:shapetype>
              <v:shape id="Textfeld 1" o:spid="_x0000_s1026" type="#_x0000_t202" style="position:absolute;margin-left:-.2pt;margin-top:133.6pt;width:189.7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" stroked="f">
                <v:textbox style="mso-fit-shape-to-text:t" inset="0,0,0,0">
                  <w:txbxContent>
                    <w:p w14:paraId="0BFC5CB7" w14:textId="52699CCF" w:rsidR="00C5291C" w:rsidRPr="00D207D4" w:rsidRDefault="00C5291C" w:rsidP="00C5291C">
                      <w:pPr>
                        <w:pStyle w:val="Beschriftung"/>
                        <w:rPr>
                          <w:rFonts w:ascii="Arial" w:hAnsi="Arial" w:cs="Arial"/>
                          <w:sz w:val="22"/>
                          <w:szCs w:val="22"/>
                        </w:rPr>
                      </w:pPr>
                      <w:r>
                        <w:t xml:space="preserve">Abbildung </w:t>
                      </w:r>
                      <w:fldSimple w:instr=" SEQ Abbildung \* ARABIC ">
                        <w:r w:rsidR="004B6877">
                          <w:rPr>
                            <w:noProof/>
                          </w:rPr>
                          <w:t>1</w:t>
                        </w:r>
                      </w:fldSimple>
                      <w:r>
                        <w:t xml:space="preserve"> </w:t>
                      </w:r>
                      <w:r w:rsidR="001E63BD">
                        <w:t>Cover des Handbuchs</w:t>
                      </w:r>
                    </w:p>
                  </w:txbxContent>
                </v:textbox>
                <w10:wrap type="tight"/>
              </v:shape>
            </w:pict>
          </mc:Fallback>
        </mc:AlternateContent>
      </w:r>
      <w:proofErr w:type="spellStart"/>
      <w:r w:rsidR="007667E4">
        <w:rPr>
          <w:rFonts w:ascii="Arial" w:hAnsi="Arial" w:cs="Arial"/>
          <w:b/>
          <w:bCs/>
        </w:rPr>
        <w:t>Digiversity</w:t>
      </w:r>
      <w:proofErr w:type="spellEnd"/>
      <w:r w:rsidR="007667E4">
        <w:rPr>
          <w:rFonts w:ascii="Arial" w:hAnsi="Arial" w:cs="Arial"/>
          <w:b/>
          <w:bCs/>
        </w:rPr>
        <w:t xml:space="preserve"> ist e</w:t>
      </w:r>
      <w:r w:rsidR="00CF3FE9" w:rsidRPr="00CF3FE9">
        <w:rPr>
          <w:rFonts w:ascii="Arial" w:hAnsi="Arial" w:cs="Arial"/>
          <w:b/>
          <w:bCs/>
        </w:rPr>
        <w:t>in Handbuch, welches Trainer*innen Inspirationen bietet und sie dabei unterstützt, Kompetenzen für eine demokratische Kultur durch non-formales Online-Lernen bei Lernenden aufzubauen. Entstanden ist die Idee dazu während der Corona-Pandemie, als viele Formate in den digitalen Raum überführt werden mussten. Es bietet praxiserprobte Methoden und weiterführende Ressourcen, reflektiert die Vor- und Nachteile digitaler Lernformate und benennt Leitlinien für die Gestaltung von Online-Lernaktivitäten.</w:t>
      </w:r>
    </w:p>
    <w:p w14:paraId="1BDA3370" w14:textId="77777777" w:rsidR="001A1427" w:rsidRPr="002A2822" w:rsidRDefault="001A1427" w:rsidP="001A1427">
      <w:pPr>
        <w:rPr>
          <w:rFonts w:ascii="Arial" w:hAnsi="Arial" w:cs="Arial"/>
        </w:rPr>
      </w:pPr>
      <w:r w:rsidRPr="002A2822">
        <w:rPr>
          <w:rFonts w:ascii="Arial" w:hAnsi="Arial" w:cs="Arial"/>
        </w:rPr>
        <w:t>Die Übertragung von Präsenzangeboten in den virtuellen Raum ist für Trainer*innen eine besondere Herausforderung, die in einem Bereich arbeiten, in dem persönliche Interaktion, Engagement und die Verbundenheit innerhalb einer Gruppe Schlüsselelemente des Lernens sind. So kam eine Gruppe engagierter Erwachsenenbildner*innen aus ganz Europa auf die Idee, ihre Erfahrungen bei der Gestaltung von Methoden für Online-Trainings zu sammeln. Diese wurden auf ihre Praxistauglichkeit geprüft und im kostenfreien Handbuch „Digiversity. Entwicklung von Kompetenzen für eine demokratische Kultur durch non-formales Online-Lernen“ zusammengestellt.</w:t>
      </w:r>
    </w:p>
    <w:p w14:paraId="1CF40D5B" w14:textId="77777777" w:rsidR="001A1427" w:rsidRPr="002A2822" w:rsidRDefault="001A1427" w:rsidP="001A1427">
      <w:pPr>
        <w:rPr>
          <w:rFonts w:ascii="Arial" w:hAnsi="Arial" w:cs="Arial"/>
        </w:rPr>
      </w:pPr>
      <w:r w:rsidRPr="002A2822">
        <w:rPr>
          <w:rFonts w:ascii="Arial" w:hAnsi="Arial" w:cs="Arial"/>
        </w:rPr>
        <w:t>Das Buch ist explizit als „Handbuch für Trainer:innen“ ausgezeichnet. Es richtet sich an Lehrende, die im Bereich der Bildung für demokratische Kultur und interkulturellen Dialog arbeiten und daran interessiert sind zu lernen, Bildungsaktivitäten mithilfe digitaler Räume und Werkzeuge zu gestalten und abzuhalten. Das Handbuch bietet Überlegungen zu den Möglichkeiten und Herausforderungen, die die Durchführung von Trainings zu Themen wie interkulturelle Kompetenz, Antidiskriminierung, Menschenrechts- und Demokratiebildung mithilfe von digitalen Tools mit sich bringt.</w:t>
      </w:r>
    </w:p>
    <w:p w14:paraId="59B12257" w14:textId="01F5EFF4" w:rsidR="001A1427" w:rsidRDefault="001A1427" w:rsidP="001A1427">
      <w:pPr>
        <w:rPr>
          <w:rFonts w:ascii="Arial" w:hAnsi="Arial" w:cs="Arial"/>
        </w:rPr>
      </w:pPr>
      <w:r w:rsidRPr="002A2822">
        <w:rPr>
          <w:rFonts w:ascii="Arial" w:hAnsi="Arial" w:cs="Arial"/>
        </w:rPr>
        <w:t xml:space="preserve">Im </w:t>
      </w:r>
      <w:r w:rsidRPr="001A1427">
        <w:rPr>
          <w:rFonts w:ascii="Arial" w:hAnsi="Arial" w:cs="Arial"/>
          <w:b/>
          <w:bCs/>
        </w:rPr>
        <w:t xml:space="preserve">ersten </w:t>
      </w:r>
      <w:r w:rsidR="003E3D60">
        <w:rPr>
          <w:rFonts w:ascii="Arial" w:hAnsi="Arial" w:cs="Arial"/>
          <w:b/>
          <w:bCs/>
        </w:rPr>
        <w:t>Kapitel</w:t>
      </w:r>
      <w:r w:rsidRPr="002A2822">
        <w:rPr>
          <w:rFonts w:ascii="Arial" w:hAnsi="Arial" w:cs="Arial"/>
        </w:rPr>
        <w:t xml:space="preserve"> finden sich </w:t>
      </w:r>
      <w:r w:rsidR="00AD1B90">
        <w:rPr>
          <w:rFonts w:ascii="Arial" w:hAnsi="Arial" w:cs="Arial"/>
        </w:rPr>
        <w:t xml:space="preserve">erklärende Ausführungen </w:t>
      </w:r>
      <w:r w:rsidRPr="002A2822">
        <w:rPr>
          <w:rFonts w:ascii="Arial" w:hAnsi="Arial" w:cs="Arial"/>
        </w:rPr>
        <w:t xml:space="preserve">zu Schlüsselbegriffen, die im Handbuch Verwendung finden (z.B. Digitale Kompetenzen, non-formale Bildung, hybrides Lernen). </w:t>
      </w:r>
      <w:r w:rsidR="000221DE">
        <w:rPr>
          <w:rFonts w:ascii="Arial" w:hAnsi="Arial" w:cs="Arial"/>
        </w:rPr>
        <w:t xml:space="preserve">Das </w:t>
      </w:r>
      <w:r w:rsidRPr="001A1427">
        <w:rPr>
          <w:rFonts w:ascii="Arial" w:hAnsi="Arial" w:cs="Arial"/>
          <w:b/>
          <w:bCs/>
        </w:rPr>
        <w:t xml:space="preserve">zweite </w:t>
      </w:r>
      <w:r w:rsidR="000221DE">
        <w:rPr>
          <w:rFonts w:ascii="Arial" w:hAnsi="Arial" w:cs="Arial"/>
          <w:b/>
          <w:bCs/>
        </w:rPr>
        <w:t>Kapitel</w:t>
      </w:r>
      <w:r w:rsidRPr="002A2822">
        <w:rPr>
          <w:rFonts w:ascii="Arial" w:hAnsi="Arial" w:cs="Arial"/>
        </w:rPr>
        <w:t xml:space="preserve"> analysiert Vor- und Nachteile verschiedener digitaler Lernformate. </w:t>
      </w:r>
    </w:p>
    <w:p w14:paraId="36E9A0D7" w14:textId="77777777" w:rsidR="004B6877" w:rsidRDefault="00865F06" w:rsidP="004B6877">
      <w:pPr>
        <w:keepNext/>
      </w:pPr>
      <w:r w:rsidRPr="002A2822">
        <w:rPr>
          <w:rFonts w:ascii="Arial" w:hAnsi="Arial" w:cs="Arial"/>
          <w:noProof/>
        </w:rPr>
        <w:lastRenderedPageBreak/>
        <w:drawing>
          <wp:inline distT="0" distB="0" distL="0" distR="0" wp14:anchorId="301606ED" wp14:editId="426EFC89">
            <wp:extent cx="5760720" cy="1970405"/>
            <wp:effectExtent l="0" t="0" r="0" b="0"/>
            <wp:docPr id="636571892" name="Grafik 1" descr="Screenshot zu Vor- und Nachteilen individuellen Online-Lernens (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71892" name="Grafik 1" descr="Screenshot zu Vor- und Nachteilen individuellen Online-Lernens (S. 18)"/>
                    <pic:cNvPicPr/>
                  </pic:nvPicPr>
                  <pic:blipFill>
                    <a:blip r:embed="rId12"/>
                    <a:stretch>
                      <a:fillRect/>
                    </a:stretch>
                  </pic:blipFill>
                  <pic:spPr>
                    <a:xfrm>
                      <a:off x="0" y="0"/>
                      <a:ext cx="5760720" cy="1970405"/>
                    </a:xfrm>
                    <a:prstGeom prst="rect">
                      <a:avLst/>
                    </a:prstGeom>
                  </pic:spPr>
                </pic:pic>
              </a:graphicData>
            </a:graphic>
          </wp:inline>
        </w:drawing>
      </w:r>
    </w:p>
    <w:p w14:paraId="60739FCE" w14:textId="6F42E146" w:rsidR="00865F06" w:rsidRPr="002A2822" w:rsidRDefault="004B6877" w:rsidP="004B6877">
      <w:pPr>
        <w:pStyle w:val="Beschriftung"/>
        <w:rPr>
          <w:rFonts w:ascii="Arial" w:hAnsi="Arial" w:cs="Arial"/>
        </w:rPr>
      </w:pPr>
      <w:r>
        <w:t xml:space="preserve">Abbildung </w:t>
      </w:r>
      <w:fldSimple w:instr=" SEQ Abbildung \* ARABIC ">
        <w:r>
          <w:rPr>
            <w:noProof/>
          </w:rPr>
          <w:t>2</w:t>
        </w:r>
      </w:fldSimple>
      <w:r>
        <w:t xml:space="preserve"> </w:t>
      </w:r>
      <w:r w:rsidRPr="00A10DF0">
        <w:t>Screenshot zu Vor- und Nachteilen individuellen Online-Lernens (S. 18)</w:t>
      </w:r>
    </w:p>
    <w:p w14:paraId="55C80322" w14:textId="63736A7A" w:rsidR="003E3D60" w:rsidRPr="002A2822" w:rsidRDefault="003E3D60" w:rsidP="003E3D60">
      <w:pPr>
        <w:rPr>
          <w:rFonts w:ascii="Arial" w:hAnsi="Arial" w:cs="Arial"/>
        </w:rPr>
      </w:pPr>
      <w:r w:rsidRPr="002A2822">
        <w:rPr>
          <w:rFonts w:ascii="Arial" w:hAnsi="Arial" w:cs="Arial"/>
        </w:rPr>
        <w:t xml:space="preserve">Im </w:t>
      </w:r>
      <w:r w:rsidRPr="003E3D60">
        <w:rPr>
          <w:rFonts w:ascii="Arial" w:hAnsi="Arial" w:cs="Arial"/>
          <w:b/>
          <w:bCs/>
        </w:rPr>
        <w:t xml:space="preserve">dritten </w:t>
      </w:r>
      <w:r w:rsidR="000221DE">
        <w:rPr>
          <w:rFonts w:ascii="Arial" w:hAnsi="Arial" w:cs="Arial"/>
          <w:b/>
          <w:bCs/>
        </w:rPr>
        <w:t>Kapitel</w:t>
      </w:r>
      <w:r w:rsidRPr="002A2822">
        <w:rPr>
          <w:rFonts w:ascii="Arial" w:hAnsi="Arial" w:cs="Arial"/>
        </w:rPr>
        <w:t xml:space="preserve"> finden sich Leitlinien für die Gestaltung effektiver Lernaktivitäten für jedes digitale Lernformat. So werden umfassende, aber übersichtlich gestaltete Hinweise für individuelles E-Learning, synchrone und asynchrone Online-Kurse, </w:t>
      </w:r>
      <w:r w:rsidR="00EA16A9" w:rsidRPr="002A2822">
        <w:rPr>
          <w:rFonts w:ascii="Arial" w:hAnsi="Arial" w:cs="Arial"/>
        </w:rPr>
        <w:t>hybride</w:t>
      </w:r>
      <w:r w:rsidR="00EA16A9">
        <w:rPr>
          <w:rFonts w:ascii="Arial" w:hAnsi="Arial" w:cs="Arial"/>
        </w:rPr>
        <w:t>s</w:t>
      </w:r>
      <w:r w:rsidR="00EA16A9" w:rsidRPr="002A2822">
        <w:rPr>
          <w:rFonts w:ascii="Arial" w:hAnsi="Arial" w:cs="Arial"/>
        </w:rPr>
        <w:t xml:space="preserve"> </w:t>
      </w:r>
      <w:r w:rsidRPr="002A2822">
        <w:rPr>
          <w:rFonts w:ascii="Arial" w:hAnsi="Arial" w:cs="Arial"/>
        </w:rPr>
        <w:t>Lernen</w:t>
      </w:r>
      <w:r w:rsidR="00EA16A9">
        <w:rPr>
          <w:rFonts w:ascii="Arial" w:hAnsi="Arial" w:cs="Arial"/>
        </w:rPr>
        <w:t>,</w:t>
      </w:r>
      <w:r w:rsidRPr="002A2822">
        <w:rPr>
          <w:rFonts w:ascii="Arial" w:hAnsi="Arial" w:cs="Arial"/>
        </w:rPr>
        <w:t xml:space="preserve"> aber auch dem Lernen in Präsenz bei Verwendung digitaler Werkzeuge gegeben. Diese Hinweise beziehen sich auf Vorbereitung, </w:t>
      </w:r>
      <w:r w:rsidR="00235226" w:rsidRPr="002A2822">
        <w:rPr>
          <w:rFonts w:ascii="Arial" w:hAnsi="Arial" w:cs="Arial"/>
        </w:rPr>
        <w:t>Hauptteil</w:t>
      </w:r>
      <w:r w:rsidRPr="002A2822">
        <w:rPr>
          <w:rFonts w:ascii="Arial" w:hAnsi="Arial" w:cs="Arial"/>
        </w:rPr>
        <w:t xml:space="preserve"> und Reflexion des Trainings</w:t>
      </w:r>
      <w:r w:rsidR="00EA16A9">
        <w:rPr>
          <w:rFonts w:ascii="Arial" w:hAnsi="Arial" w:cs="Arial"/>
        </w:rPr>
        <w:t xml:space="preserve"> und</w:t>
      </w:r>
      <w:r w:rsidRPr="002A2822">
        <w:rPr>
          <w:rFonts w:ascii="Arial" w:hAnsi="Arial" w:cs="Arial"/>
        </w:rPr>
        <w:t xml:space="preserve"> bieten weiterführende Tipps und Tricks </w:t>
      </w:r>
      <w:r w:rsidR="00EA16A9">
        <w:rPr>
          <w:rFonts w:ascii="Arial" w:hAnsi="Arial" w:cs="Arial"/>
        </w:rPr>
        <w:t>sowie</w:t>
      </w:r>
      <w:r w:rsidR="00EA16A9" w:rsidRPr="002A2822">
        <w:rPr>
          <w:rFonts w:ascii="Arial" w:hAnsi="Arial" w:cs="Arial"/>
        </w:rPr>
        <w:t xml:space="preserve"> </w:t>
      </w:r>
      <w:r w:rsidRPr="002A2822">
        <w:rPr>
          <w:rFonts w:ascii="Arial" w:hAnsi="Arial" w:cs="Arial"/>
        </w:rPr>
        <w:t>Beispiele für Programme und Tools.</w:t>
      </w:r>
    </w:p>
    <w:p w14:paraId="752D0AB0" w14:textId="6E38B84C" w:rsidR="003E3D60" w:rsidRPr="002A2822" w:rsidRDefault="003E3D60" w:rsidP="003E3D60">
      <w:pPr>
        <w:rPr>
          <w:rFonts w:ascii="Arial" w:hAnsi="Arial" w:cs="Arial"/>
        </w:rPr>
      </w:pPr>
      <w:r w:rsidRPr="002A2822">
        <w:rPr>
          <w:rFonts w:ascii="Arial" w:hAnsi="Arial" w:cs="Arial"/>
        </w:rPr>
        <w:t>Ein Überblick über 13 Methoden</w:t>
      </w:r>
      <w:r>
        <w:rPr>
          <w:rFonts w:ascii="Arial" w:hAnsi="Arial" w:cs="Arial"/>
        </w:rPr>
        <w:t xml:space="preserve"> im </w:t>
      </w:r>
      <w:r w:rsidRPr="003E3D60">
        <w:rPr>
          <w:rFonts w:ascii="Arial" w:hAnsi="Arial" w:cs="Arial"/>
          <w:b/>
          <w:bCs/>
        </w:rPr>
        <w:t xml:space="preserve">vierten </w:t>
      </w:r>
      <w:r w:rsidR="000221DE">
        <w:rPr>
          <w:rFonts w:ascii="Arial" w:hAnsi="Arial" w:cs="Arial"/>
          <w:b/>
          <w:bCs/>
        </w:rPr>
        <w:t>Kapitel</w:t>
      </w:r>
      <w:r w:rsidRPr="002A2822">
        <w:rPr>
          <w:rFonts w:ascii="Arial" w:hAnsi="Arial" w:cs="Arial"/>
        </w:rPr>
        <w:t xml:space="preserve"> hilft, diese für gewünschte Lehr-Lern-Szenarien korrekt einzusetzen. Der Überblick beinhaltet darüber hinaus die Kompetenzen, die mit dem Einsatz der Methode aufgebaut werden, benennt die geeigneten Lernformate für deren Einsatz, die Gruppengröße, die Dauer und die Trainingsphase für deren Einsatz. Nach diesem Überblick </w:t>
      </w:r>
      <w:r w:rsidR="000221DE">
        <w:rPr>
          <w:rFonts w:ascii="Arial" w:hAnsi="Arial" w:cs="Arial"/>
        </w:rPr>
        <w:t>folgt</w:t>
      </w:r>
      <w:r w:rsidRPr="002A2822">
        <w:rPr>
          <w:rFonts w:ascii="Arial" w:hAnsi="Arial" w:cs="Arial"/>
        </w:rPr>
        <w:t xml:space="preserve"> </w:t>
      </w:r>
      <w:r>
        <w:rPr>
          <w:rFonts w:ascii="Arial" w:hAnsi="Arial" w:cs="Arial"/>
        </w:rPr>
        <w:t xml:space="preserve">im </w:t>
      </w:r>
      <w:r w:rsidRPr="003E3D60">
        <w:rPr>
          <w:rFonts w:ascii="Arial" w:hAnsi="Arial" w:cs="Arial"/>
          <w:b/>
          <w:bCs/>
        </w:rPr>
        <w:t xml:space="preserve">fünften </w:t>
      </w:r>
      <w:r w:rsidR="000221DE">
        <w:rPr>
          <w:rFonts w:ascii="Arial" w:hAnsi="Arial" w:cs="Arial"/>
          <w:b/>
          <w:bCs/>
        </w:rPr>
        <w:t>Kapitel</w:t>
      </w:r>
      <w:r>
        <w:rPr>
          <w:rFonts w:ascii="Arial" w:hAnsi="Arial" w:cs="Arial"/>
        </w:rPr>
        <w:t xml:space="preserve"> </w:t>
      </w:r>
      <w:r w:rsidRPr="002A2822">
        <w:rPr>
          <w:rFonts w:ascii="Arial" w:hAnsi="Arial" w:cs="Arial"/>
        </w:rPr>
        <w:t>die konkrete Vorstellung jeder Methode. Hier werden vor allem die Aktivitäten der Teilnehmenden ausführlich vorgestellt, das benötigte Material und die Vorbereitung thematisiert, eigene Praxiserfahrungen reflektiert sowie Dos &amp; Don’ts benannt. Damit sind Trainer*innen bestens für den Einsatz der Methode gerüstet und können auf Basis der Informationen entscheiden, ob und wie sie die</w:t>
      </w:r>
      <w:r w:rsidR="00705B0C">
        <w:rPr>
          <w:rFonts w:ascii="Arial" w:hAnsi="Arial" w:cs="Arial"/>
        </w:rPr>
        <w:t>se</w:t>
      </w:r>
      <w:r w:rsidRPr="002A2822">
        <w:rPr>
          <w:rFonts w:ascii="Arial" w:hAnsi="Arial" w:cs="Arial"/>
        </w:rPr>
        <w:t xml:space="preserve"> einsetzen.</w:t>
      </w:r>
    </w:p>
    <w:p w14:paraId="5BFFEBE2" w14:textId="43035A5E" w:rsidR="003E3D60" w:rsidRDefault="003E3D60" w:rsidP="003E3D60">
      <w:pPr>
        <w:rPr>
          <w:rFonts w:ascii="Arial" w:hAnsi="Arial" w:cs="Arial"/>
        </w:rPr>
      </w:pPr>
      <w:r w:rsidRPr="002A2822">
        <w:rPr>
          <w:rFonts w:ascii="Arial" w:hAnsi="Arial" w:cs="Arial"/>
        </w:rPr>
        <w:t>Ein Kapitel zu weiterführenden Ressourcen in Form kommentierter Linklisten rundet das Handbuch</w:t>
      </w:r>
      <w:r>
        <w:rPr>
          <w:rFonts w:ascii="Arial" w:hAnsi="Arial" w:cs="Arial"/>
        </w:rPr>
        <w:t xml:space="preserve"> im </w:t>
      </w:r>
      <w:r w:rsidRPr="003E3D60">
        <w:rPr>
          <w:rFonts w:ascii="Arial" w:hAnsi="Arial" w:cs="Arial"/>
          <w:b/>
          <w:bCs/>
        </w:rPr>
        <w:t xml:space="preserve">sechsten </w:t>
      </w:r>
      <w:r w:rsidR="000221DE">
        <w:rPr>
          <w:rFonts w:ascii="Arial" w:hAnsi="Arial" w:cs="Arial"/>
          <w:b/>
          <w:bCs/>
        </w:rPr>
        <w:t>Kapitel</w:t>
      </w:r>
      <w:r w:rsidRPr="002A2822">
        <w:rPr>
          <w:rFonts w:ascii="Arial" w:hAnsi="Arial" w:cs="Arial"/>
        </w:rPr>
        <w:t xml:space="preserve"> ab und gibt interessierten Lesenden die Möglichkeiten, in ausgewählte Bereiche zu vertiefen. Dazu zählen unter anderem Ressourcen zu Kompetenzen für eine demokratische Kultur, Online-Lernen und Künstliche Intelligenz in der Bildung.</w:t>
      </w:r>
    </w:p>
    <w:p w14:paraId="7D003B18" w14:textId="77777777" w:rsidR="001914F0" w:rsidRPr="001914F0" w:rsidRDefault="001914F0" w:rsidP="001914F0">
      <w:pPr>
        <w:rPr>
          <w:rFonts w:ascii="Arial" w:hAnsi="Arial" w:cs="Arial"/>
          <w:b/>
          <w:bCs/>
        </w:rPr>
      </w:pPr>
      <w:r w:rsidRPr="001914F0">
        <w:rPr>
          <w:rFonts w:ascii="Arial" w:hAnsi="Arial" w:cs="Arial"/>
          <w:b/>
          <w:bCs/>
        </w:rPr>
        <w:t>Fazit</w:t>
      </w:r>
    </w:p>
    <w:p w14:paraId="0CE7F4AB" w14:textId="39838283" w:rsidR="001914F0" w:rsidRPr="002A2822" w:rsidRDefault="001914F0" w:rsidP="001914F0">
      <w:pPr>
        <w:rPr>
          <w:rFonts w:ascii="Arial" w:hAnsi="Arial" w:cs="Arial"/>
        </w:rPr>
      </w:pPr>
      <w:r>
        <w:rPr>
          <w:rFonts w:ascii="Arial" w:hAnsi="Arial" w:cs="Arial"/>
        </w:rPr>
        <w:t xml:space="preserve">Das Handbuch ist sehr praxisnah geschrieben und erprobt. Es bietet einen guten Überblick über die Kompetenzentwicklung </w:t>
      </w:r>
      <w:r w:rsidRPr="002A2822">
        <w:rPr>
          <w:rFonts w:ascii="Arial" w:hAnsi="Arial" w:cs="Arial"/>
        </w:rPr>
        <w:t>für eine demokratische Kultur</w:t>
      </w:r>
      <w:r>
        <w:rPr>
          <w:rFonts w:ascii="Arial" w:hAnsi="Arial" w:cs="Arial"/>
        </w:rPr>
        <w:t xml:space="preserve">. Die Methoden lassen sich inhaltlich sicher auch für andere Bildungszwecke adaptieren. Die weiterführenden Links zu den Methoden sowie zu den Ressourcen sind wertvoll, ebenso wie die grundlegende Einführung in die Vor- und Nachteile verschiedener Lehrformate. </w:t>
      </w:r>
    </w:p>
    <w:p w14:paraId="65A4C401" w14:textId="77777777" w:rsidR="001914F0" w:rsidRPr="002A2822" w:rsidRDefault="001914F0" w:rsidP="003E3D60">
      <w:pPr>
        <w:rPr>
          <w:rFonts w:ascii="Arial" w:hAnsi="Arial" w:cs="Arial"/>
        </w:rPr>
      </w:pPr>
    </w:p>
    <w:p w14:paraId="04093750" w14:textId="505D2210" w:rsidR="003E3D60" w:rsidRPr="002A2822" w:rsidRDefault="003E3D60" w:rsidP="003E3D60">
      <w:pPr>
        <w:rPr>
          <w:rFonts w:ascii="Arial" w:hAnsi="Arial" w:cs="Arial"/>
        </w:rPr>
      </w:pPr>
      <w:r w:rsidRPr="002A2822">
        <w:rPr>
          <w:rFonts w:ascii="Arial" w:hAnsi="Arial" w:cs="Arial"/>
        </w:rPr>
        <w:t>Das Handbuch steht unter der Lizenz CC BY-SA 4.0 DEED. Damit ist es rechtssicher nachnutzbar, die Inhalte dürfen an die eigenen Bedürfnisse angepasst und unter gleichen Bedingungen weitergeben</w:t>
      </w:r>
      <w:r w:rsidR="007C42D9">
        <w:rPr>
          <w:rFonts w:ascii="Arial" w:hAnsi="Arial" w:cs="Arial"/>
        </w:rPr>
        <w:t xml:space="preserve"> </w:t>
      </w:r>
      <w:r w:rsidR="007C42D9" w:rsidRPr="002A2822">
        <w:rPr>
          <w:rFonts w:ascii="Arial" w:hAnsi="Arial" w:cs="Arial"/>
        </w:rPr>
        <w:t>werden</w:t>
      </w:r>
      <w:r w:rsidRPr="002A2822">
        <w:rPr>
          <w:rFonts w:ascii="Arial" w:hAnsi="Arial" w:cs="Arial"/>
        </w:rPr>
        <w:t>.</w:t>
      </w:r>
    </w:p>
    <w:p w14:paraId="709BB55A" w14:textId="77777777" w:rsidR="003E3D60" w:rsidRDefault="003E3D60" w:rsidP="003E3D60">
      <w:pPr>
        <w:rPr>
          <w:rFonts w:ascii="Arial" w:hAnsi="Arial" w:cs="Arial"/>
        </w:rPr>
      </w:pPr>
      <w:r w:rsidRPr="002A2822">
        <w:rPr>
          <w:rFonts w:ascii="Arial" w:hAnsi="Arial" w:cs="Arial"/>
        </w:rPr>
        <w:t xml:space="preserve">Das Projekt wurde von der Europäischen Union finanziert. Sie finden es auf der Webseite des IZ – Verein  zur Förderung von Vielfalt, Dialog und Bildung unter folgender Webadresse: </w:t>
      </w:r>
      <w:hyperlink r:id="rId13" w:history="1">
        <w:r w:rsidRPr="002A2822">
          <w:rPr>
            <w:rStyle w:val="Hyperlink"/>
            <w:rFonts w:ascii="Arial" w:hAnsi="Arial" w:cs="Arial"/>
          </w:rPr>
          <w:t>https://iz.or.at/wp-content/uploads/2022/07/DIGIVERSITY_DE.pdf</w:t>
        </w:r>
      </w:hyperlink>
      <w:r w:rsidRPr="002A2822">
        <w:rPr>
          <w:rFonts w:ascii="Arial" w:hAnsi="Arial" w:cs="Arial"/>
        </w:rPr>
        <w:t xml:space="preserve"> </w:t>
      </w:r>
    </w:p>
    <w:p w14:paraId="011103B1" w14:textId="77777777" w:rsidR="006D7711" w:rsidRPr="001E3850" w:rsidRDefault="006D7711" w:rsidP="006D7711">
      <w:pPr>
        <w:rPr>
          <w:rFonts w:ascii="Arial" w:hAnsi="Arial" w:cs="Arial"/>
          <w:b/>
          <w:bCs/>
        </w:rPr>
      </w:pPr>
      <w:r w:rsidRPr="001E3850">
        <w:rPr>
          <w:rFonts w:ascii="Arial" w:hAnsi="Arial" w:cs="Arial"/>
          <w:b/>
          <w:bCs/>
        </w:rPr>
        <w:t>Verlagsinformation</w:t>
      </w:r>
      <w:r>
        <w:rPr>
          <w:rFonts w:ascii="Arial" w:hAnsi="Arial" w:cs="Arial"/>
          <w:b/>
          <w:bCs/>
        </w:rPr>
        <w:t>en:</w:t>
      </w:r>
    </w:p>
    <w:p w14:paraId="04C75174" w14:textId="4CA433F2" w:rsidR="006D7711" w:rsidRPr="002A2822" w:rsidRDefault="006D7711" w:rsidP="006D7711">
      <w:pPr>
        <w:rPr>
          <w:rFonts w:ascii="Arial" w:hAnsi="Arial" w:cs="Arial"/>
        </w:rPr>
      </w:pPr>
      <w:r w:rsidRPr="009C2377">
        <w:rPr>
          <w:rFonts w:ascii="Arial" w:hAnsi="Arial" w:cs="Arial"/>
        </w:rPr>
        <w:t>Haderer</w:t>
      </w:r>
      <w:r w:rsidR="004B2D95" w:rsidRPr="009C2377">
        <w:rPr>
          <w:rFonts w:ascii="Arial" w:hAnsi="Arial" w:cs="Arial"/>
        </w:rPr>
        <w:t>, P.</w:t>
      </w:r>
      <w:r w:rsidRPr="009C2377">
        <w:rPr>
          <w:rFonts w:ascii="Arial" w:hAnsi="Arial" w:cs="Arial"/>
        </w:rPr>
        <w:t>, Rus</w:t>
      </w:r>
      <w:r w:rsidR="009C2377" w:rsidRPr="009C2377">
        <w:rPr>
          <w:rFonts w:ascii="Arial" w:hAnsi="Arial" w:cs="Arial"/>
        </w:rPr>
        <w:t>, C.</w:t>
      </w:r>
      <w:r w:rsidRPr="009C2377">
        <w:rPr>
          <w:rFonts w:ascii="Arial" w:hAnsi="Arial" w:cs="Arial"/>
        </w:rPr>
        <w:t xml:space="preserve"> (</w:t>
      </w:r>
      <w:proofErr w:type="spellStart"/>
      <w:r w:rsidRPr="009C2377">
        <w:rPr>
          <w:rFonts w:ascii="Arial" w:hAnsi="Arial" w:cs="Arial"/>
        </w:rPr>
        <w:t>n.D</w:t>
      </w:r>
      <w:proofErr w:type="spellEnd"/>
      <w:r w:rsidRPr="009C2377">
        <w:rPr>
          <w:rFonts w:ascii="Arial" w:hAnsi="Arial" w:cs="Arial"/>
        </w:rPr>
        <w:t xml:space="preserve">.). </w:t>
      </w:r>
      <w:proofErr w:type="spellStart"/>
      <w:r w:rsidRPr="002A2822">
        <w:rPr>
          <w:rFonts w:ascii="Arial" w:hAnsi="Arial" w:cs="Arial"/>
        </w:rPr>
        <w:t>Digiversity</w:t>
      </w:r>
      <w:proofErr w:type="spellEnd"/>
      <w:r w:rsidRPr="002A2822">
        <w:rPr>
          <w:rFonts w:ascii="Arial" w:hAnsi="Arial" w:cs="Arial"/>
        </w:rPr>
        <w:t>. Entwicklung von Kompetenzen für eine demokratische Kultur durch non-formales Online-Lernen. Handbuch für Trainer:innen. ISBN 978-606-8311-27-2</w:t>
      </w:r>
    </w:p>
    <w:p w14:paraId="6D8C92CD" w14:textId="77777777" w:rsidR="006D7711" w:rsidRPr="002A2822" w:rsidRDefault="006D7711" w:rsidP="006D7711">
      <w:pPr>
        <w:rPr>
          <w:rFonts w:ascii="Arial" w:hAnsi="Arial" w:cs="Arial"/>
        </w:rPr>
      </w:pPr>
    </w:p>
    <w:p w14:paraId="44E8A8A2" w14:textId="5B817BB9" w:rsidR="006D7711" w:rsidRPr="002A2822" w:rsidRDefault="006D7711" w:rsidP="006D7711">
      <w:pPr>
        <w:rPr>
          <w:rFonts w:ascii="Arial" w:hAnsi="Arial" w:cs="Arial"/>
          <w:lang w:val="en-US"/>
        </w:rPr>
      </w:pPr>
      <w:hyperlink r:id="rId14" w:history="1">
        <w:r w:rsidRPr="00B35D2C">
          <w:rPr>
            <w:rStyle w:val="Hyperlink"/>
            <w:rFonts w:ascii="Arial" w:hAnsi="Arial" w:cs="Arial"/>
            <w:lang w:val="en-US"/>
          </w:rPr>
          <w:t>CC BY-SA 4.0</w:t>
        </w:r>
      </w:hyperlink>
      <w:r w:rsidRPr="002A2822">
        <w:rPr>
          <w:rFonts w:ascii="Arial" w:hAnsi="Arial" w:cs="Arial"/>
          <w:lang w:val="en-US"/>
        </w:rPr>
        <w:t xml:space="preserve"> by </w:t>
      </w:r>
      <w:r w:rsidRPr="006D7711">
        <w:rPr>
          <w:rFonts w:ascii="Arial" w:hAnsi="Arial" w:cs="Arial"/>
          <w:b/>
          <w:bCs/>
          <w:lang w:val="en-US"/>
        </w:rPr>
        <w:t>Lars Kilian</w:t>
      </w:r>
      <w:r w:rsidRPr="002A2822">
        <w:rPr>
          <w:rFonts w:ascii="Arial" w:hAnsi="Arial" w:cs="Arial"/>
          <w:lang w:val="en-US"/>
        </w:rPr>
        <w:t xml:space="preserve"> für wb-web (2025)</w:t>
      </w:r>
    </w:p>
    <w:p w14:paraId="6B6575A6" w14:textId="7281DDBF" w:rsidR="00FD4313" w:rsidRPr="00B26B12" w:rsidRDefault="00FD4313" w:rsidP="005C650B">
      <w:pPr>
        <w:spacing w:after="0"/>
        <w:rPr>
          <w:b/>
          <w:color w:val="0049A2"/>
          <w:sz w:val="24"/>
          <w:szCs w:val="24"/>
        </w:rPr>
      </w:pPr>
      <w:bookmarkStart w:id="0" w:name="h.gjdgxs" w:colFirst="0" w:colLast="0"/>
      <w:bookmarkEnd w:id="0"/>
    </w:p>
    <w:sectPr w:rsidR="00FD4313" w:rsidRPr="00B26B12" w:rsidSect="003B00B1">
      <w:headerReference w:type="default" r:id="rId15"/>
      <w:footerReference w:type="default" r:id="rId16"/>
      <w:pgSz w:w="11906" w:h="16838"/>
      <w:pgMar w:top="2552" w:right="1417" w:bottom="1134"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8B2D9" w14:textId="77777777" w:rsidR="00D62536" w:rsidRDefault="00D62536" w:rsidP="00014AE4">
      <w:pPr>
        <w:spacing w:after="0" w:line="240" w:lineRule="auto"/>
      </w:pPr>
      <w:r>
        <w:separator/>
      </w:r>
    </w:p>
  </w:endnote>
  <w:endnote w:type="continuationSeparator" w:id="0">
    <w:p w14:paraId="5E2D8A80" w14:textId="77777777" w:rsidR="00D62536" w:rsidRDefault="00D62536" w:rsidP="00014AE4">
      <w:pPr>
        <w:spacing w:after="0" w:line="240" w:lineRule="auto"/>
      </w:pPr>
      <w:r>
        <w:continuationSeparator/>
      </w:r>
    </w:p>
  </w:endnote>
  <w:endnote w:type="continuationNotice" w:id="1">
    <w:p w14:paraId="40EE767B" w14:textId="77777777" w:rsidR="00D62536" w:rsidRDefault="00D62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Calibri"/>
    <w:panose1 w:val="020B0604020202020204"/>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4D80" w14:textId="061A9580" w:rsidR="007E4297" w:rsidRPr="002F55D9" w:rsidRDefault="002F55D9" w:rsidP="0040731C">
    <w:pPr>
      <w:autoSpaceDE w:val="0"/>
      <w:autoSpaceDN w:val="0"/>
      <w:adjustRightInd w:val="0"/>
      <w:spacing w:after="0" w:line="240" w:lineRule="auto"/>
      <w:rPr>
        <w:rStyle w:val="Hyperlink"/>
        <w:rFonts w:ascii="DINPro" w:hAnsi="DINPro" w:cs="DINPro"/>
        <w:sz w:val="16"/>
        <w:szCs w:val="16"/>
      </w:rPr>
    </w:pPr>
    <w:r>
      <w:rPr>
        <w:rFonts w:ascii="Arial" w:hAnsi="Arial" w:cs="Arial"/>
        <w:color w:val="333333"/>
        <w:sz w:val="16"/>
        <w:szCs w:val="16"/>
      </w:rPr>
      <w:fldChar w:fldCharType="begin"/>
    </w:r>
    <w:r>
      <w:rPr>
        <w:rFonts w:ascii="Arial" w:hAnsi="Arial" w:cs="Arial"/>
        <w:color w:val="333333"/>
        <w:sz w:val="16"/>
        <w:szCs w:val="16"/>
      </w:rPr>
      <w:instrText>HYPERLINK "https://creativecommons.org/licenses/by-sa/4.0/"</w:instrText>
    </w:r>
    <w:r>
      <w:rPr>
        <w:rFonts w:ascii="Arial" w:hAnsi="Arial" w:cs="Arial"/>
        <w:color w:val="333333"/>
        <w:sz w:val="16"/>
        <w:szCs w:val="16"/>
      </w:rPr>
    </w:r>
    <w:r>
      <w:rPr>
        <w:rFonts w:ascii="Arial" w:hAnsi="Arial" w:cs="Arial"/>
        <w:color w:val="333333"/>
        <w:sz w:val="16"/>
        <w:szCs w:val="16"/>
      </w:rPr>
      <w:fldChar w:fldCharType="separate"/>
    </w:r>
    <w:r w:rsidR="00F85D94" w:rsidRPr="002F55D9">
      <w:rPr>
        <w:rStyle w:val="Hyperlink"/>
        <w:rFonts w:ascii="Arial" w:hAnsi="Arial" w:cs="Arial"/>
        <w:noProof/>
        <w:sz w:val="16"/>
        <w:szCs w:val="16"/>
      </w:rPr>
      <w:drawing>
        <wp:anchor distT="0" distB="0" distL="114300" distR="114300" simplePos="0" relativeHeight="251659265" behindDoc="1" locked="0" layoutInCell="1" allowOverlap="1" wp14:anchorId="6C75645E" wp14:editId="33BCCA99">
          <wp:simplePos x="0" y="0"/>
          <wp:positionH relativeFrom="margin">
            <wp:align>left</wp:align>
          </wp:positionH>
          <wp:positionV relativeFrom="paragraph">
            <wp:posOffset>50800</wp:posOffset>
          </wp:positionV>
          <wp:extent cx="1293495" cy="258445"/>
          <wp:effectExtent l="0" t="0" r="1905" b="8255"/>
          <wp:wrapTight wrapText="bothSides">
            <wp:wrapPolygon edited="0">
              <wp:start x="0" y="0"/>
              <wp:lineTo x="0" y="20698"/>
              <wp:lineTo x="21314" y="20698"/>
              <wp:lineTo x="21314" y="0"/>
              <wp:lineTo x="0" y="0"/>
            </wp:wrapPolygon>
          </wp:wrapTight>
          <wp:docPr id="1634305131"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05131" name="Grafik 1" descr="Ein Bild, das Schrift, Grafiken, Logo,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93495" cy="258445"/>
                  </a:xfrm>
                  <a:prstGeom prst="rect">
                    <a:avLst/>
                  </a:prstGeom>
                </pic:spPr>
              </pic:pic>
            </a:graphicData>
          </a:graphic>
          <wp14:sizeRelH relativeFrom="margin">
            <wp14:pctWidth>0</wp14:pctWidth>
          </wp14:sizeRelH>
          <wp14:sizeRelV relativeFrom="margin">
            <wp14:pctHeight>0</wp14:pctHeight>
          </wp14:sizeRelV>
        </wp:anchor>
      </w:drawing>
    </w:r>
    <w:r w:rsidR="007E4297" w:rsidRPr="002F55D9">
      <w:rPr>
        <w:rStyle w:val="Hyperlink"/>
        <w:rFonts w:ascii="Arial" w:hAnsi="Arial" w:cs="Arial"/>
        <w:sz w:val="16"/>
        <w:szCs w:val="16"/>
      </w:rPr>
      <w:t>Dieses Material steht unter der Creative-Commons-Lizenz Namensnennung – Weitergabe unter gleichen Bedingungen. Um eine Kopie dieser Lizenz zu sehen, besuchen Sie https://creativecommons.org/licenses/by-sa/4.0/</w:t>
    </w:r>
  </w:p>
  <w:p w14:paraId="47BBBB70" w14:textId="0D9202F4" w:rsidR="00C20EF1" w:rsidRPr="00073A86" w:rsidRDefault="002F55D9">
    <w:pPr>
      <w:pStyle w:val="Fuzeile"/>
      <w:jc w:val="center"/>
      <w:rPr>
        <w:rFonts w:ascii="Arial" w:hAnsi="Arial" w:cs="Arial"/>
        <w:sz w:val="20"/>
        <w:szCs w:val="20"/>
      </w:rPr>
    </w:pPr>
    <w:r>
      <w:rPr>
        <w:rFonts w:ascii="Arial" w:hAnsi="Arial" w:cs="Arial"/>
        <w:color w:val="333333"/>
        <w:sz w:val="16"/>
        <w:szCs w:val="16"/>
      </w:rPr>
      <w:fldChar w:fldCharType="end"/>
    </w:r>
  </w:p>
  <w:p w14:paraId="08128671" w14:textId="77777777" w:rsidR="00C20EF1" w:rsidRDefault="00C20E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F4633" w14:textId="77777777" w:rsidR="00D62536" w:rsidRDefault="00D62536" w:rsidP="00014AE4">
      <w:pPr>
        <w:spacing w:after="0" w:line="240" w:lineRule="auto"/>
      </w:pPr>
      <w:r>
        <w:separator/>
      </w:r>
    </w:p>
  </w:footnote>
  <w:footnote w:type="continuationSeparator" w:id="0">
    <w:p w14:paraId="6A9E5F6C" w14:textId="77777777" w:rsidR="00D62536" w:rsidRDefault="00D62536" w:rsidP="00014AE4">
      <w:pPr>
        <w:spacing w:after="0" w:line="240" w:lineRule="auto"/>
      </w:pPr>
      <w:r>
        <w:continuationSeparator/>
      </w:r>
    </w:p>
  </w:footnote>
  <w:footnote w:type="continuationNotice" w:id="1">
    <w:p w14:paraId="495BF054" w14:textId="77777777" w:rsidR="00D62536" w:rsidRDefault="00D625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CD14" w14:textId="77777777" w:rsidR="00C20EF1" w:rsidRDefault="00C20EF1">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58241" behindDoc="0" locked="0" layoutInCell="1" allowOverlap="1" wp14:anchorId="3BD48D9A" wp14:editId="64492C07">
              <wp:simplePos x="0" y="0"/>
              <wp:positionH relativeFrom="rightMargin">
                <wp:posOffset>11430</wp:posOffset>
              </wp:positionH>
              <wp:positionV relativeFrom="paragraph">
                <wp:posOffset>459105</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3C70F3B8" w14:textId="46028183" w:rsidR="00C20EF1" w:rsidRPr="00AC2223" w:rsidRDefault="00C20EF1" w:rsidP="00C93D17">
                          <w:pPr>
                            <w:jc w:val="right"/>
                            <w:rPr>
                              <w:rFonts w:ascii="Arial" w:hAnsi="Arial" w:cs="Arial"/>
                              <w:i/>
                              <w:sz w:val="18"/>
                              <w:szCs w:val="18"/>
                            </w:rPr>
                          </w:pPr>
                          <w:hyperlink r:id="rId1" w:history="1">
                            <w:r w:rsidRPr="00866E53">
                              <w:rPr>
                                <w:rStyle w:val="Hyperlink"/>
                                <w:rFonts w:ascii="Arial" w:hAnsi="Arial" w:cs="Arial"/>
                                <w:i/>
                                <w:sz w:val="18"/>
                                <w:szCs w:val="18"/>
                              </w:rPr>
                              <w:t>wb-web</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D48D9A" id="_x0000_t202" coordsize="21600,21600" o:spt="202" path="m,l,21600r21600,l21600,xe">
              <v:stroke joinstyle="miter"/>
              <v:path gradientshapeok="t" o:connecttype="rect"/>
            </v:shapetype>
            <v:shape id="Textfeld 2" o:spid="_x0000_s1027" type="#_x0000_t202" style="position:absolute;margin-left:.9pt;margin-top:36.15pt;width:60.75pt;height:110.6pt;z-index:251658241;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" stroked="f">
              <v:textbox style="mso-fit-shape-to-text:t">
                <w:txbxContent>
                  <w:p w14:paraId="3C70F3B8" w14:textId="46028183" w:rsidR="00C20EF1" w:rsidRPr="00AC2223" w:rsidRDefault="00C20EF1" w:rsidP="00C93D17">
                    <w:pPr>
                      <w:jc w:val="right"/>
                      <w:rPr>
                        <w:rFonts w:ascii="Arial" w:hAnsi="Arial" w:cs="Arial"/>
                        <w:i/>
                        <w:sz w:val="18"/>
                        <w:szCs w:val="18"/>
                      </w:rPr>
                    </w:pPr>
                    <w:hyperlink r:id="rId2" w:history="1">
                      <w:r w:rsidRPr="00866E53">
                        <w:rPr>
                          <w:rStyle w:val="Hyperlink"/>
                          <w:rFonts w:ascii="Arial" w:hAnsi="Arial" w:cs="Arial"/>
                          <w:i/>
                          <w:sz w:val="18"/>
                          <w:szCs w:val="18"/>
                        </w:rPr>
                        <w:t>wb-web</w:t>
                      </w:r>
                    </w:hyperlink>
                  </w:p>
                </w:txbxContent>
              </v:textbox>
              <w10:wrap anchorx="margin"/>
            </v:shape>
          </w:pict>
        </mc:Fallback>
      </mc:AlternateContent>
    </w:r>
    <w:r>
      <w:rPr>
        <w:noProof/>
        <w:lang w:eastAsia="de-DE"/>
      </w:rPr>
      <w:drawing>
        <wp:anchor distT="0" distB="0" distL="114300" distR="114300" simplePos="0" relativeHeight="251658240" behindDoc="0" locked="0" layoutInCell="1" allowOverlap="1" wp14:anchorId="662AF5A3" wp14:editId="191E5A0A">
          <wp:simplePos x="0" y="0"/>
          <wp:positionH relativeFrom="column">
            <wp:posOffset>-895350</wp:posOffset>
          </wp:positionH>
          <wp:positionV relativeFrom="paragraph">
            <wp:posOffset>-443865</wp:posOffset>
          </wp:positionV>
          <wp:extent cx="7553325" cy="895350"/>
          <wp:effectExtent l="0" t="0" r="9525" b="0"/>
          <wp:wrapNone/>
          <wp:docPr id="11"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3">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03F"/>
    <w:multiLevelType w:val="hybridMultilevel"/>
    <w:tmpl w:val="F5FEBC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1460FD0"/>
    <w:multiLevelType w:val="hybridMultilevel"/>
    <w:tmpl w:val="84DE97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D8067B"/>
    <w:multiLevelType w:val="hybridMultilevel"/>
    <w:tmpl w:val="A1DAD4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44D54BA"/>
    <w:multiLevelType w:val="hybridMultilevel"/>
    <w:tmpl w:val="459E190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8803F40"/>
    <w:multiLevelType w:val="hybridMultilevel"/>
    <w:tmpl w:val="98E2AD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7B57D3"/>
    <w:multiLevelType w:val="multilevel"/>
    <w:tmpl w:val="2610A28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530F3A03"/>
    <w:multiLevelType w:val="hybridMultilevel"/>
    <w:tmpl w:val="A078894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5C2909"/>
    <w:multiLevelType w:val="hybridMultilevel"/>
    <w:tmpl w:val="86804B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06600AB"/>
    <w:multiLevelType w:val="hybridMultilevel"/>
    <w:tmpl w:val="47028C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540B28"/>
    <w:multiLevelType w:val="hybridMultilevel"/>
    <w:tmpl w:val="3A94CFDE"/>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0" w15:restartNumberingAfterBreak="0">
    <w:nsid w:val="67DD5C0D"/>
    <w:multiLevelType w:val="hybridMultilevel"/>
    <w:tmpl w:val="5A70E4B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371298834">
    <w:abstractNumId w:val="8"/>
  </w:num>
  <w:num w:numId="2" w16cid:durableId="746806970">
    <w:abstractNumId w:val="1"/>
  </w:num>
  <w:num w:numId="3" w16cid:durableId="1071780716">
    <w:abstractNumId w:val="9"/>
  </w:num>
  <w:num w:numId="4" w16cid:durableId="340401180">
    <w:abstractNumId w:val="5"/>
  </w:num>
  <w:num w:numId="5" w16cid:durableId="881598697">
    <w:abstractNumId w:val="2"/>
  </w:num>
  <w:num w:numId="6" w16cid:durableId="2093626395">
    <w:abstractNumId w:val="6"/>
  </w:num>
  <w:num w:numId="7" w16cid:durableId="771784589">
    <w:abstractNumId w:val="7"/>
  </w:num>
  <w:num w:numId="8" w16cid:durableId="110898317">
    <w:abstractNumId w:val="3"/>
  </w:num>
  <w:num w:numId="9" w16cid:durableId="1474374394">
    <w:abstractNumId w:val="0"/>
  </w:num>
  <w:num w:numId="10" w16cid:durableId="693381770">
    <w:abstractNumId w:val="4"/>
  </w:num>
  <w:num w:numId="11" w16cid:durableId="1956252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2057"/>
    <w:rsid w:val="00014AE4"/>
    <w:rsid w:val="000221DE"/>
    <w:rsid w:val="00033349"/>
    <w:rsid w:val="00043539"/>
    <w:rsid w:val="00055254"/>
    <w:rsid w:val="00073A86"/>
    <w:rsid w:val="00097499"/>
    <w:rsid w:val="000A631B"/>
    <w:rsid w:val="000B33D4"/>
    <w:rsid w:val="000E619B"/>
    <w:rsid w:val="00154B63"/>
    <w:rsid w:val="00156001"/>
    <w:rsid w:val="00160D34"/>
    <w:rsid w:val="00184D2F"/>
    <w:rsid w:val="001914F0"/>
    <w:rsid w:val="001A1427"/>
    <w:rsid w:val="001B6E99"/>
    <w:rsid w:val="001C43DE"/>
    <w:rsid w:val="001D3BE7"/>
    <w:rsid w:val="001D7A0C"/>
    <w:rsid w:val="001E63BD"/>
    <w:rsid w:val="00212CE2"/>
    <w:rsid w:val="0022714B"/>
    <w:rsid w:val="002311FA"/>
    <w:rsid w:val="00235226"/>
    <w:rsid w:val="00247A89"/>
    <w:rsid w:val="00252C32"/>
    <w:rsid w:val="0026602B"/>
    <w:rsid w:val="002B23EA"/>
    <w:rsid w:val="002B431B"/>
    <w:rsid w:val="002B7B20"/>
    <w:rsid w:val="002F55D9"/>
    <w:rsid w:val="003071B5"/>
    <w:rsid w:val="0031708C"/>
    <w:rsid w:val="003206F6"/>
    <w:rsid w:val="00327355"/>
    <w:rsid w:val="003277CC"/>
    <w:rsid w:val="00333725"/>
    <w:rsid w:val="00360C3F"/>
    <w:rsid w:val="00366444"/>
    <w:rsid w:val="00372E70"/>
    <w:rsid w:val="0037550F"/>
    <w:rsid w:val="003B00B1"/>
    <w:rsid w:val="003B72B2"/>
    <w:rsid w:val="003E319B"/>
    <w:rsid w:val="003E3D60"/>
    <w:rsid w:val="0040731C"/>
    <w:rsid w:val="0041295D"/>
    <w:rsid w:val="00434DAD"/>
    <w:rsid w:val="00484F09"/>
    <w:rsid w:val="004957C2"/>
    <w:rsid w:val="004A2070"/>
    <w:rsid w:val="004B2D95"/>
    <w:rsid w:val="004B33AC"/>
    <w:rsid w:val="004B6877"/>
    <w:rsid w:val="005275CA"/>
    <w:rsid w:val="00527C57"/>
    <w:rsid w:val="005328AC"/>
    <w:rsid w:val="00546890"/>
    <w:rsid w:val="00583DC6"/>
    <w:rsid w:val="0058787C"/>
    <w:rsid w:val="005A1DD2"/>
    <w:rsid w:val="005B2946"/>
    <w:rsid w:val="005C650B"/>
    <w:rsid w:val="005F148C"/>
    <w:rsid w:val="00621195"/>
    <w:rsid w:val="0062161D"/>
    <w:rsid w:val="0066098A"/>
    <w:rsid w:val="00666927"/>
    <w:rsid w:val="00682600"/>
    <w:rsid w:val="006C07CC"/>
    <w:rsid w:val="006D2AF4"/>
    <w:rsid w:val="006D7711"/>
    <w:rsid w:val="00705B0C"/>
    <w:rsid w:val="00723B4B"/>
    <w:rsid w:val="00726C8F"/>
    <w:rsid w:val="0074434B"/>
    <w:rsid w:val="007667E4"/>
    <w:rsid w:val="007B0F48"/>
    <w:rsid w:val="007C42D9"/>
    <w:rsid w:val="007C6EDE"/>
    <w:rsid w:val="007E4297"/>
    <w:rsid w:val="007F6F01"/>
    <w:rsid w:val="008248B3"/>
    <w:rsid w:val="00836189"/>
    <w:rsid w:val="00865F06"/>
    <w:rsid w:val="00866E53"/>
    <w:rsid w:val="00875289"/>
    <w:rsid w:val="00894E64"/>
    <w:rsid w:val="008B0E78"/>
    <w:rsid w:val="008D00C4"/>
    <w:rsid w:val="008F3ECD"/>
    <w:rsid w:val="00927D64"/>
    <w:rsid w:val="00932967"/>
    <w:rsid w:val="009536BB"/>
    <w:rsid w:val="00972975"/>
    <w:rsid w:val="00987AC5"/>
    <w:rsid w:val="0099639D"/>
    <w:rsid w:val="009A290B"/>
    <w:rsid w:val="009A3012"/>
    <w:rsid w:val="009A58F1"/>
    <w:rsid w:val="009A797B"/>
    <w:rsid w:val="009C2377"/>
    <w:rsid w:val="00A26509"/>
    <w:rsid w:val="00A46E28"/>
    <w:rsid w:val="00A6496C"/>
    <w:rsid w:val="00AB4569"/>
    <w:rsid w:val="00AC2223"/>
    <w:rsid w:val="00AD1B90"/>
    <w:rsid w:val="00B01655"/>
    <w:rsid w:val="00B05C5D"/>
    <w:rsid w:val="00B26B12"/>
    <w:rsid w:val="00B35D2C"/>
    <w:rsid w:val="00B812A5"/>
    <w:rsid w:val="00B94EB4"/>
    <w:rsid w:val="00B9780C"/>
    <w:rsid w:val="00BB1C70"/>
    <w:rsid w:val="00BC1B12"/>
    <w:rsid w:val="00BC2391"/>
    <w:rsid w:val="00BF1FB0"/>
    <w:rsid w:val="00C07190"/>
    <w:rsid w:val="00C20EF1"/>
    <w:rsid w:val="00C315A0"/>
    <w:rsid w:val="00C322B8"/>
    <w:rsid w:val="00C4615B"/>
    <w:rsid w:val="00C5291C"/>
    <w:rsid w:val="00C93D17"/>
    <w:rsid w:val="00CF16B5"/>
    <w:rsid w:val="00CF3FE9"/>
    <w:rsid w:val="00D04D28"/>
    <w:rsid w:val="00D215A2"/>
    <w:rsid w:val="00D2163E"/>
    <w:rsid w:val="00D33A98"/>
    <w:rsid w:val="00D62536"/>
    <w:rsid w:val="00D830D5"/>
    <w:rsid w:val="00DC337E"/>
    <w:rsid w:val="00DD0A88"/>
    <w:rsid w:val="00DD7B7C"/>
    <w:rsid w:val="00E00710"/>
    <w:rsid w:val="00E53294"/>
    <w:rsid w:val="00E5546C"/>
    <w:rsid w:val="00E7274D"/>
    <w:rsid w:val="00E744F6"/>
    <w:rsid w:val="00E84DD0"/>
    <w:rsid w:val="00EA16A9"/>
    <w:rsid w:val="00ED28DD"/>
    <w:rsid w:val="00EF554C"/>
    <w:rsid w:val="00F04EC9"/>
    <w:rsid w:val="00F3380E"/>
    <w:rsid w:val="00F5413F"/>
    <w:rsid w:val="00F5698F"/>
    <w:rsid w:val="00F644FD"/>
    <w:rsid w:val="00F85D94"/>
    <w:rsid w:val="00FA7C6D"/>
    <w:rsid w:val="00FC373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1AB83"/>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1FB0"/>
  </w:style>
  <w:style w:type="paragraph" w:styleId="berschrift1">
    <w:name w:val="heading 1"/>
    <w:basedOn w:val="Standard"/>
    <w:link w:val="berschrift1Zchn"/>
    <w:uiPriority w:val="9"/>
    <w:qFormat/>
    <w:rsid w:val="00BF1F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4AE4"/>
  </w:style>
  <w:style w:type="character" w:customStyle="1" w:styleId="berschrift1Zchn">
    <w:name w:val="Überschrift 1 Zchn"/>
    <w:basedOn w:val="Absatz-Standardschriftart"/>
    <w:link w:val="berschrift1"/>
    <w:uiPriority w:val="9"/>
    <w:rsid w:val="00BF1FB0"/>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BF1FB0"/>
    <w:rPr>
      <w:color w:val="0000FF" w:themeColor="hyperlink"/>
      <w:u w:val="single"/>
    </w:rPr>
  </w:style>
  <w:style w:type="paragraph" w:styleId="Listenabsatz">
    <w:name w:val="List Paragraph"/>
    <w:basedOn w:val="Standard"/>
    <w:uiPriority w:val="34"/>
    <w:qFormat/>
    <w:rsid w:val="00BF1FB0"/>
    <w:pPr>
      <w:ind w:left="720"/>
      <w:contextualSpacing/>
    </w:pPr>
  </w:style>
  <w:style w:type="paragraph" w:customStyle="1" w:styleId="Standard1">
    <w:name w:val="Standard1"/>
    <w:rsid w:val="009536BB"/>
    <w:pPr>
      <w:spacing w:after="0"/>
    </w:pPr>
    <w:rPr>
      <w:rFonts w:ascii="Arial" w:eastAsia="Arial" w:hAnsi="Arial" w:cs="Arial"/>
      <w:color w:val="000000"/>
      <w:lang w:eastAsia="de-DE"/>
    </w:rPr>
  </w:style>
  <w:style w:type="character" w:styleId="Kommentarzeichen">
    <w:name w:val="annotation reference"/>
    <w:basedOn w:val="Absatz-Standardschriftart"/>
    <w:uiPriority w:val="99"/>
    <w:semiHidden/>
    <w:unhideWhenUsed/>
    <w:rsid w:val="002B431B"/>
    <w:rPr>
      <w:sz w:val="16"/>
      <w:szCs w:val="16"/>
    </w:rPr>
  </w:style>
  <w:style w:type="paragraph" w:styleId="Kommentartext">
    <w:name w:val="annotation text"/>
    <w:basedOn w:val="Standard"/>
    <w:link w:val="KommentartextZchn"/>
    <w:uiPriority w:val="99"/>
    <w:unhideWhenUsed/>
    <w:rsid w:val="002B431B"/>
    <w:pPr>
      <w:spacing w:line="240" w:lineRule="auto"/>
    </w:pPr>
    <w:rPr>
      <w:sz w:val="20"/>
      <w:szCs w:val="20"/>
    </w:rPr>
  </w:style>
  <w:style w:type="character" w:customStyle="1" w:styleId="KommentartextZchn">
    <w:name w:val="Kommentartext Zchn"/>
    <w:basedOn w:val="Absatz-Standardschriftart"/>
    <w:link w:val="Kommentartext"/>
    <w:uiPriority w:val="99"/>
    <w:rsid w:val="002B431B"/>
    <w:rPr>
      <w:sz w:val="20"/>
      <w:szCs w:val="20"/>
    </w:rPr>
  </w:style>
  <w:style w:type="paragraph" w:styleId="Kommentarthema">
    <w:name w:val="annotation subject"/>
    <w:basedOn w:val="Kommentartext"/>
    <w:next w:val="Kommentartext"/>
    <w:link w:val="KommentarthemaZchn"/>
    <w:uiPriority w:val="99"/>
    <w:semiHidden/>
    <w:unhideWhenUsed/>
    <w:rsid w:val="002B431B"/>
    <w:rPr>
      <w:b/>
      <w:bCs/>
    </w:rPr>
  </w:style>
  <w:style w:type="character" w:customStyle="1" w:styleId="KommentarthemaZchn">
    <w:name w:val="Kommentarthema Zchn"/>
    <w:basedOn w:val="KommentartextZchn"/>
    <w:link w:val="Kommentarthema"/>
    <w:uiPriority w:val="99"/>
    <w:semiHidden/>
    <w:rsid w:val="002B431B"/>
    <w:rPr>
      <w:b/>
      <w:bCs/>
      <w:sz w:val="20"/>
      <w:szCs w:val="20"/>
    </w:rPr>
  </w:style>
  <w:style w:type="paragraph" w:styleId="Sprechblasentext">
    <w:name w:val="Balloon Text"/>
    <w:basedOn w:val="Standard"/>
    <w:link w:val="SprechblasentextZchn"/>
    <w:uiPriority w:val="99"/>
    <w:semiHidden/>
    <w:unhideWhenUsed/>
    <w:rsid w:val="002B43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431B"/>
    <w:rPr>
      <w:rFonts w:ascii="Segoe UI" w:hAnsi="Segoe UI" w:cs="Segoe UI"/>
      <w:sz w:val="18"/>
      <w:szCs w:val="18"/>
    </w:rPr>
  </w:style>
  <w:style w:type="character" w:styleId="NichtaufgelsteErwhnung">
    <w:name w:val="Unresolved Mention"/>
    <w:basedOn w:val="Absatz-Standardschriftart"/>
    <w:uiPriority w:val="99"/>
    <w:semiHidden/>
    <w:unhideWhenUsed/>
    <w:rsid w:val="0041295D"/>
    <w:rPr>
      <w:color w:val="808080"/>
      <w:shd w:val="clear" w:color="auto" w:fill="E6E6E6"/>
    </w:rPr>
  </w:style>
  <w:style w:type="paragraph" w:styleId="berarbeitung">
    <w:name w:val="Revision"/>
    <w:hidden/>
    <w:uiPriority w:val="99"/>
    <w:semiHidden/>
    <w:rsid w:val="00866E53"/>
    <w:pPr>
      <w:spacing w:after="0" w:line="240" w:lineRule="auto"/>
    </w:pPr>
  </w:style>
  <w:style w:type="character" w:styleId="BesuchterLink">
    <w:name w:val="FollowedHyperlink"/>
    <w:basedOn w:val="Absatz-Standardschriftart"/>
    <w:uiPriority w:val="99"/>
    <w:semiHidden/>
    <w:unhideWhenUsed/>
    <w:rsid w:val="00B9780C"/>
    <w:rPr>
      <w:color w:val="800080" w:themeColor="followedHyperlink"/>
      <w:u w:val="single"/>
    </w:rPr>
  </w:style>
  <w:style w:type="paragraph" w:styleId="StandardWeb">
    <w:name w:val="Normal (Web)"/>
    <w:basedOn w:val="Standard"/>
    <w:uiPriority w:val="99"/>
    <w:unhideWhenUsed/>
    <w:rsid w:val="009A301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A3012"/>
    <w:rPr>
      <w:b/>
      <w:bCs/>
    </w:rPr>
  </w:style>
  <w:style w:type="paragraph" w:styleId="Beschriftung">
    <w:name w:val="caption"/>
    <w:basedOn w:val="Standard"/>
    <w:next w:val="Standard"/>
    <w:uiPriority w:val="35"/>
    <w:unhideWhenUsed/>
    <w:qFormat/>
    <w:rsid w:val="00C5291C"/>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381216">
      <w:bodyDiv w:val="1"/>
      <w:marLeft w:val="0"/>
      <w:marRight w:val="0"/>
      <w:marTop w:val="0"/>
      <w:marBottom w:val="0"/>
      <w:divBdr>
        <w:top w:val="none" w:sz="0" w:space="0" w:color="auto"/>
        <w:left w:val="none" w:sz="0" w:space="0" w:color="auto"/>
        <w:bottom w:val="none" w:sz="0" w:space="0" w:color="auto"/>
        <w:right w:val="none" w:sz="0" w:space="0" w:color="auto"/>
      </w:divBdr>
    </w:div>
    <w:div w:id="15797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z.or.at/wp-content/uploads/2022/07/DIGIVERSITY_D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sa/4.0/deed.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wb-web.de/" TargetMode="External"/><Relationship Id="rId1" Type="http://schemas.openxmlformats.org/officeDocument/2006/relationships/hyperlink" Target="https://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8" ma:contentTypeDescription="Ein neues Dokument erstellen." ma:contentTypeScope="" ma:versionID="4f707b137343d2c94cb30417a8fa7227">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f6c0e099fa326e22aa0255bb7bf6bbc0"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EC98C-0190-47FE-9C46-85EB16A9191E}">
  <ds:schemaRefs>
    <ds:schemaRef ds:uri="http://schemas.microsoft.com/sharepoint/v3/contenttype/forms"/>
  </ds:schemaRefs>
</ds:datastoreItem>
</file>

<file path=customXml/itemProps2.xml><?xml version="1.0" encoding="utf-8"?>
<ds:datastoreItem xmlns:ds="http://schemas.openxmlformats.org/officeDocument/2006/customXml" ds:itemID="{2D3F22CF-3353-434A-B1FE-A34F5CBA22C9}">
  <ds:schemaRefs>
    <ds:schemaRef ds:uri="http://www.w3.org/XML/1998/namespace"/>
    <ds:schemaRef ds:uri="http://purl.org/dc/elements/1.1/"/>
    <ds:schemaRef ds:uri="http://schemas.microsoft.com/office/2006/metadata/properties"/>
    <ds:schemaRef ds:uri="http://schemas.microsoft.com/office/2006/documentManagement/types"/>
    <ds:schemaRef ds:uri="1bba72f6-2060-4661-9cfe-97e4e2f7da5f"/>
    <ds:schemaRef ds:uri="http://schemas.openxmlformats.org/package/2006/metadata/core-properties"/>
    <ds:schemaRef ds:uri="http://schemas.microsoft.com/office/infopath/2007/PartnerControls"/>
    <ds:schemaRef ds:uri="dd9e0e75-209e-44b8-975e-d4794545e8e4"/>
    <ds:schemaRef ds:uri="http://purl.org/dc/dcmitype/"/>
    <ds:schemaRef ds:uri="http://purl.org/dc/terms/"/>
  </ds:schemaRefs>
</ds:datastoreItem>
</file>

<file path=customXml/itemProps3.xml><?xml version="1.0" encoding="utf-8"?>
<ds:datastoreItem xmlns:ds="http://schemas.openxmlformats.org/officeDocument/2006/customXml" ds:itemID="{3C56E8E8-3970-4730-BF98-9D125ED334F1}">
  <ds:schemaRefs>
    <ds:schemaRef ds:uri="http://schemas.openxmlformats.org/officeDocument/2006/bibliography"/>
  </ds:schemaRefs>
</ds:datastoreItem>
</file>

<file path=customXml/itemProps4.xml><?xml version="1.0" encoding="utf-8"?>
<ds:datastoreItem xmlns:ds="http://schemas.openxmlformats.org/officeDocument/2006/customXml" ds:itemID="{48DB23DA-B8AD-4EA7-A86B-9D282F1A9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5152</CharactersWithSpaces>
  <SharedDoc>false</SharedDoc>
  <HLinks>
    <vt:vector size="42" baseType="variant">
      <vt:variant>
        <vt:i4>3670125</vt:i4>
      </vt:variant>
      <vt:variant>
        <vt:i4>15</vt:i4>
      </vt:variant>
      <vt:variant>
        <vt:i4>0</vt:i4>
      </vt:variant>
      <vt:variant>
        <vt:i4>5</vt:i4>
      </vt:variant>
      <vt:variant>
        <vt:lpwstr>https://wb-web.de/material/methoden/neurodidaktik-fur-trainer.html</vt:lpwstr>
      </vt:variant>
      <vt:variant>
        <vt:lpwstr/>
      </vt:variant>
      <vt:variant>
        <vt:i4>4063322</vt:i4>
      </vt:variant>
      <vt:variant>
        <vt:i4>12</vt:i4>
      </vt:variant>
      <vt:variant>
        <vt:i4>0</vt:i4>
      </vt:variant>
      <vt:variant>
        <vt:i4>5</vt:i4>
      </vt:variant>
      <vt:variant>
        <vt:lpwstr>mailto:info@wb-web.de</vt:lpwstr>
      </vt:variant>
      <vt:variant>
        <vt:lpwstr/>
      </vt:variant>
      <vt:variant>
        <vt:i4>8060980</vt:i4>
      </vt:variant>
      <vt:variant>
        <vt:i4>9</vt:i4>
      </vt:variant>
      <vt:variant>
        <vt:i4>0</vt:i4>
      </vt:variant>
      <vt:variant>
        <vt:i4>5</vt:i4>
      </vt:variant>
      <vt:variant>
        <vt:lpwstr>https://creativecommons.org/licenses/by-sa/3.0/de/</vt:lpwstr>
      </vt:variant>
      <vt:variant>
        <vt:lpwstr/>
      </vt:variant>
      <vt:variant>
        <vt:i4>4653060</vt:i4>
      </vt:variant>
      <vt:variant>
        <vt:i4>6</vt:i4>
      </vt:variant>
      <vt:variant>
        <vt:i4>0</vt:i4>
      </vt:variant>
      <vt:variant>
        <vt:i4>5</vt:i4>
      </vt:variant>
      <vt:variant>
        <vt:lpwstr>https://wb-web.de/community/autorenhinweise-user/formale-richtlinien.html</vt:lpwstr>
      </vt:variant>
      <vt:variant>
        <vt:lpwstr/>
      </vt:variant>
      <vt:variant>
        <vt:i4>5832829</vt:i4>
      </vt:variant>
      <vt:variant>
        <vt:i4>3</vt:i4>
      </vt:variant>
      <vt:variant>
        <vt:i4>0</vt:i4>
      </vt:variant>
      <vt:variant>
        <vt:i4>5</vt:i4>
      </vt:variant>
      <vt:variant>
        <vt:lpwstr>https://iz.or.at/wp-content/uploads/2022/07/DIGIVERSITY_DE.pdf</vt:lpwstr>
      </vt:variant>
      <vt:variant>
        <vt:lpwstr/>
      </vt:variant>
      <vt:variant>
        <vt:i4>8060980</vt:i4>
      </vt:variant>
      <vt:variant>
        <vt:i4>0</vt:i4>
      </vt:variant>
      <vt:variant>
        <vt:i4>0</vt:i4>
      </vt:variant>
      <vt:variant>
        <vt:i4>5</vt:i4>
      </vt:variant>
      <vt:variant>
        <vt:lpwstr>https://creativecommons.org/licenses/by-sa/3.0/de/</vt:lpwstr>
      </vt:variant>
      <vt:variant>
        <vt:lpwstr/>
      </vt:variant>
      <vt:variant>
        <vt:i4>2949172</vt:i4>
      </vt:variant>
      <vt:variant>
        <vt:i4>0</vt:i4>
      </vt:variant>
      <vt:variant>
        <vt:i4>0</vt:i4>
      </vt:variant>
      <vt:variant>
        <vt:i4>5</vt:i4>
      </vt:variant>
      <vt:variant>
        <vt:lpwstr>https://wb-web.de/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2</cp:revision>
  <cp:lastPrinted>2023-04-17T11:17:00Z</cp:lastPrinted>
  <dcterms:created xsi:type="dcterms:W3CDTF">2025-02-06T08:06:00Z</dcterms:created>
  <dcterms:modified xsi:type="dcterms:W3CDTF">2025-02-06T08:06:00Z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