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D3816" w14:textId="221FD151" w:rsidR="00430A4E" w:rsidRDefault="00291523" w:rsidP="00430A4E">
      <w:pPr>
        <w:pStyle w:val="Materialtyp1"/>
      </w:pPr>
      <w:r>
        <w:rPr>
          <w:noProof/>
        </w:rPr>
        <mc:AlternateContent>
          <mc:Choice Requires="wps">
            <w:drawing>
              <wp:anchor distT="45720" distB="45720" distL="114300" distR="114300" simplePos="0" relativeHeight="251660288" behindDoc="0" locked="0" layoutInCell="1" allowOverlap="1" wp14:anchorId="39ADD702" wp14:editId="54737F46">
                <wp:simplePos x="0" y="0"/>
                <wp:positionH relativeFrom="column">
                  <wp:posOffset>5576570</wp:posOffset>
                </wp:positionH>
                <wp:positionV relativeFrom="paragraph">
                  <wp:posOffset>-639445</wp:posOffset>
                </wp:positionV>
                <wp:extent cx="857250" cy="2476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noFill/>
                          <a:miter lim="800000"/>
                          <a:headEnd/>
                          <a:tailEnd/>
                        </a:ln>
                      </wps:spPr>
                      <wps:txbx>
                        <w:txbxContent>
                          <w:p w14:paraId="057B284E" w14:textId="62A6E2B7" w:rsidR="00291523" w:rsidRDefault="00291523">
                            <w:hyperlink r:id="rId8" w:history="1">
                              <w:r w:rsidRPr="00291523">
                                <w:rPr>
                                  <w:rStyle w:val="Hyperlink"/>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DD702" id="_x0000_t202" coordsize="21600,21600" o:spt="202" path="m,l,21600r21600,l21600,xe">
                <v:stroke joinstyle="miter"/>
                <v:path gradientshapeok="t" o:connecttype="rect"/>
              </v:shapetype>
              <v:shape id="Textfeld 2" o:spid="_x0000_s1026" type="#_x0000_t202" style="position:absolute;margin-left:439.1pt;margin-top:-50.35pt;width:6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" stroked="f">
                <v:textbox>
                  <w:txbxContent>
                    <w:p w14:paraId="057B284E" w14:textId="62A6E2B7" w:rsidR="00291523" w:rsidRDefault="00291523">
                      <w:hyperlink r:id="rId9" w:history="1">
                        <w:r w:rsidRPr="00291523">
                          <w:rPr>
                            <w:rStyle w:val="Hyperlink"/>
                          </w:rPr>
                          <w:t>wb-web.de</w:t>
                        </w:r>
                      </w:hyperlink>
                    </w:p>
                  </w:txbxContent>
                </v:textbox>
                <w10:wrap type="square"/>
              </v:shape>
            </w:pict>
          </mc:Fallback>
        </mc:AlternateContent>
      </w:r>
      <w:proofErr w:type="spellStart"/>
      <w:r w:rsidR="00F37D0E">
        <w:t>buchvorstellung</w:t>
      </w:r>
      <w:proofErr w:type="spellEnd"/>
    </w:p>
    <w:p w14:paraId="217C30EA" w14:textId="6F41A114" w:rsidR="00D11A8D" w:rsidRDefault="00D10B2C" w:rsidP="00F37D0E">
      <w:pPr>
        <w:pStyle w:val="Zwischenberschrift"/>
        <w:rPr>
          <w:rFonts w:eastAsia="Times New Roman"/>
          <w:bCs/>
          <w:color w:val="333333"/>
          <w:sz w:val="32"/>
          <w:szCs w:val="32"/>
          <w:bdr w:val="none" w:sz="0" w:space="0" w:color="auto"/>
        </w:rPr>
      </w:pPr>
      <w:r>
        <w:rPr>
          <w:noProof/>
        </w:rPr>
        <w:drawing>
          <wp:anchor distT="0" distB="0" distL="114300" distR="114300" simplePos="0" relativeHeight="251658752" behindDoc="0" locked="0" layoutInCell="1" allowOverlap="1" wp14:anchorId="05B2C093" wp14:editId="3BD0347B">
            <wp:simplePos x="0" y="0"/>
            <wp:positionH relativeFrom="column">
              <wp:posOffset>-635</wp:posOffset>
            </wp:positionH>
            <wp:positionV relativeFrom="paragraph">
              <wp:posOffset>485775</wp:posOffset>
            </wp:positionV>
            <wp:extent cx="1695450" cy="2371090"/>
            <wp:effectExtent l="0" t="0" r="0" b="0"/>
            <wp:wrapSquare wrapText="bothSides"/>
            <wp:docPr id="848120307" name="Grafik 1" descr="Das Bild zeigt das Cover der Publikation &quot;Gesundheitliche Grundbildung in der Arbeitswelt gestalten. Ein Mann hantiert mit je einem fröhlichen und einem traurigen Smil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20307" name="Grafik 1" descr="Das Bild zeigt das Cover der Publikation &quot;Gesundheitliche Grundbildung in der Arbeitswelt gestalten. Ein Mann hantiert mit je einem fröhlichen und einem traurigen Smiley.&#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0" cy="2371090"/>
                    </a:xfrm>
                    <a:prstGeom prst="rect">
                      <a:avLst/>
                    </a:prstGeom>
                  </pic:spPr>
                </pic:pic>
              </a:graphicData>
            </a:graphic>
            <wp14:sizeRelH relativeFrom="page">
              <wp14:pctWidth>0</wp14:pctWidth>
            </wp14:sizeRelH>
            <wp14:sizeRelV relativeFrom="page">
              <wp14:pctHeight>0</wp14:pctHeight>
            </wp14:sizeRelV>
          </wp:anchor>
        </w:drawing>
      </w:r>
      <w:r w:rsidR="002D0E89">
        <w:rPr>
          <w:rFonts w:eastAsia="Times New Roman"/>
          <w:bCs/>
          <w:color w:val="333333"/>
          <w:sz w:val="32"/>
          <w:szCs w:val="32"/>
          <w:bdr w:val="none" w:sz="0" w:space="0" w:color="auto"/>
        </w:rPr>
        <w:t>Gesundheitliche</w:t>
      </w:r>
      <w:r w:rsidR="00772891">
        <w:rPr>
          <w:rFonts w:eastAsia="Times New Roman"/>
          <w:bCs/>
          <w:color w:val="333333"/>
          <w:sz w:val="32"/>
          <w:szCs w:val="32"/>
          <w:bdr w:val="none" w:sz="0" w:space="0" w:color="auto"/>
        </w:rPr>
        <w:t xml:space="preserve"> </w:t>
      </w:r>
      <w:r w:rsidR="00D11A8D">
        <w:rPr>
          <w:rFonts w:eastAsia="Times New Roman"/>
          <w:bCs/>
          <w:color w:val="333333"/>
          <w:sz w:val="32"/>
          <w:szCs w:val="32"/>
          <w:bdr w:val="none" w:sz="0" w:space="0" w:color="auto"/>
        </w:rPr>
        <w:t>Grundbildung</w:t>
      </w:r>
      <w:r w:rsidR="00772891">
        <w:rPr>
          <w:rFonts w:eastAsia="Times New Roman"/>
          <w:bCs/>
          <w:color w:val="333333"/>
          <w:sz w:val="32"/>
          <w:szCs w:val="32"/>
          <w:bdr w:val="none" w:sz="0" w:space="0" w:color="auto"/>
        </w:rPr>
        <w:t xml:space="preserve"> in der Arbeitswelt gestalten</w:t>
      </w:r>
    </w:p>
    <w:p w14:paraId="75E66A77" w14:textId="59F03582" w:rsidR="00BA1538" w:rsidRPr="00BA1538" w:rsidRDefault="00BA1538" w:rsidP="00BA1538">
      <w:pPr>
        <w:pStyle w:val="Zwischenberschrift"/>
        <w:rPr>
          <w:bCs/>
          <w:noProof/>
        </w:rPr>
      </w:pPr>
      <w:r w:rsidRPr="00BA1538">
        <w:rPr>
          <w:bCs/>
          <w:noProof/>
        </w:rPr>
        <w:t xml:space="preserve">Das Thema „Gesundheitsbildung“ wird in der Dekade für Alphabetisierung und Grundbildung als relevanter Inhaltsbereich benannt (BMBF &amp; KMK 2016). Strukturell benachteiligte Beschäftigte, wie z.B. gering qualifizierte bzw. gering literalisierte Mitarbeitende, nehmen nicht selbstverständlich an Weiterbildungsangeboten teil. Die Folge ist eine Benachteiligung dieser Gruppe beim Thema Gesundheit. Die vorliegende Handreichung entstand im Projekt „BasisKomNet – Arbeitsorientierte Grundbildung in Netzwerken verändern“ und bietet innovative Angebote für „gesundheitliche Grundbildung“ im betrieblichen Rahmen. </w:t>
      </w:r>
    </w:p>
    <w:p w14:paraId="4B28C585" w14:textId="77777777" w:rsidR="00BA1538" w:rsidRPr="00BA1538" w:rsidRDefault="00BA1538" w:rsidP="00BA1538">
      <w:pPr>
        <w:pStyle w:val="Zwischenberschrift"/>
        <w:rPr>
          <w:b w:val="0"/>
          <w:noProof/>
        </w:rPr>
      </w:pPr>
      <w:r w:rsidRPr="00BA1538">
        <w:rPr>
          <w:b w:val="0"/>
          <w:noProof/>
        </w:rPr>
        <w:t xml:space="preserve">Die Verbindung von Grundbildung und Gesundheit war neu. Die Handreichung bietet aus dem Projekt Praxisbeispiele und Erkenntnisse dieses Pilotversuchs (Menke &amp; Claßen 2024). </w:t>
      </w:r>
    </w:p>
    <w:p w14:paraId="6AC04978" w14:textId="77777777" w:rsidR="00BA1538" w:rsidRPr="00BA1538" w:rsidRDefault="00BA1538" w:rsidP="00BA1538">
      <w:pPr>
        <w:pStyle w:val="Zwischenberschrift"/>
        <w:rPr>
          <w:b w:val="0"/>
          <w:noProof/>
        </w:rPr>
      </w:pPr>
      <w:r w:rsidRPr="00BA1538">
        <w:rPr>
          <w:b w:val="0"/>
          <w:noProof/>
        </w:rPr>
        <w:t xml:space="preserve">Anders als in der lebensweltbezogenen Grundbildung ist die Verknüpfung von Gesundheitsthemen, wie z.B. Ernährung, Bewegung oder Hygiene, mit Lese- und Schreibanlässen in der arbeitsorientierten Grundbildung (AoG) kein Standard. Hieraus ergaben sich in der Projektphase neue Herausforderungen mit folgenden Leitfragen: </w:t>
      </w:r>
    </w:p>
    <w:p w14:paraId="49E0C28F" w14:textId="77777777" w:rsidR="00BA1538" w:rsidRPr="00BA1538" w:rsidRDefault="00BA1538" w:rsidP="00BA1538">
      <w:pPr>
        <w:pStyle w:val="Zwischenberschrift"/>
        <w:numPr>
          <w:ilvl w:val="0"/>
          <w:numId w:val="9"/>
        </w:numPr>
        <w:rPr>
          <w:b w:val="0"/>
          <w:noProof/>
        </w:rPr>
      </w:pPr>
      <w:r w:rsidRPr="00BA1538">
        <w:rPr>
          <w:b w:val="0"/>
          <w:noProof/>
        </w:rPr>
        <w:t xml:space="preserve">„Wie lassen sich Themen gesundheitlicher Grundbildung bei Betrieben und Beschäftigten platzieren (Zugang, Akquise, grundsätzliches Interesse)? </w:t>
      </w:r>
    </w:p>
    <w:p w14:paraId="3F0B8F54" w14:textId="77777777" w:rsidR="00BA1538" w:rsidRPr="00BA1538" w:rsidRDefault="00BA1538" w:rsidP="00BA1538">
      <w:pPr>
        <w:pStyle w:val="Zwischenberschrift"/>
        <w:numPr>
          <w:ilvl w:val="0"/>
          <w:numId w:val="9"/>
        </w:numPr>
        <w:rPr>
          <w:b w:val="0"/>
          <w:noProof/>
        </w:rPr>
      </w:pPr>
      <w:r w:rsidRPr="00BA1538">
        <w:rPr>
          <w:b w:val="0"/>
          <w:noProof/>
        </w:rPr>
        <w:t xml:space="preserve">Welche Themen und Inhalte sind aus Betriebs- und Beschäftigtensicht relevant? </w:t>
      </w:r>
    </w:p>
    <w:p w14:paraId="70A1CE21" w14:textId="77777777" w:rsidR="00BA1538" w:rsidRPr="00BA1538" w:rsidRDefault="00BA1538" w:rsidP="00BA1538">
      <w:pPr>
        <w:pStyle w:val="Zwischenberschrift"/>
        <w:numPr>
          <w:ilvl w:val="0"/>
          <w:numId w:val="9"/>
        </w:numPr>
        <w:rPr>
          <w:b w:val="0"/>
          <w:noProof/>
        </w:rPr>
      </w:pPr>
      <w:r w:rsidRPr="00BA1538">
        <w:rPr>
          <w:b w:val="0"/>
          <w:noProof/>
        </w:rPr>
        <w:t xml:space="preserve">Welche niederschwelligen Konzepte in der Verbindung von Grundbildung und Gesundheit „funktionieren“ im betrieblichen Kontext? </w:t>
      </w:r>
    </w:p>
    <w:p w14:paraId="2E21EE85" w14:textId="77777777" w:rsidR="00BA1538" w:rsidRPr="00BA1538" w:rsidRDefault="00BA1538" w:rsidP="00BA1538">
      <w:pPr>
        <w:pStyle w:val="Zwischenberschrift"/>
        <w:rPr>
          <w:b w:val="0"/>
          <w:noProof/>
        </w:rPr>
      </w:pPr>
      <w:r w:rsidRPr="00BA1538">
        <w:rPr>
          <w:b w:val="0"/>
          <w:noProof/>
        </w:rPr>
        <w:t xml:space="preserve">Die Handreichung bietet zunächst einen Status quo der Gesundheitsbildung allgemein und im betrieblichen Kontext. Darauf aufbauend entwickelte das Projekt BasisKomNet Perspektiven, um Zugänge zum Gesundheitssystem zu erlangen, das Wissen über gesundheitsbeeinflussende Faktoren zu mehren, gesundheitsbezogene </w:t>
      </w:r>
      <w:r w:rsidRPr="00BA1538">
        <w:rPr>
          <w:b w:val="0"/>
          <w:noProof/>
        </w:rPr>
        <w:lastRenderedPageBreak/>
        <w:t xml:space="preserve">Themen im Betrieb zu verstehen und beurteilen, sowie den Umgang mit der eigenen Gesundheit zu verbessern. </w:t>
      </w:r>
    </w:p>
    <w:p w14:paraId="269BA908" w14:textId="77777777" w:rsidR="00BA1538" w:rsidRPr="00BA1538" w:rsidRDefault="00BA1538" w:rsidP="00BA1538">
      <w:pPr>
        <w:pStyle w:val="Zwischenberschrift"/>
        <w:rPr>
          <w:b w:val="0"/>
          <w:noProof/>
        </w:rPr>
      </w:pPr>
      <w:r w:rsidRPr="00BA1538">
        <w:rPr>
          <w:b w:val="0"/>
          <w:noProof/>
        </w:rPr>
        <w:t xml:space="preserve">Im vierten Kapitel stellt das Projekt erprobte Praxisbeispiele vor, die methodisch-didaktisch auf die spezifischen Zielgruppen abgestimmt wurden. Das Material wie Konzepte, Seminarpläne und Arbeitsmaterialien stehen über einen Link zum Download zur Verfügung. </w:t>
      </w:r>
    </w:p>
    <w:p w14:paraId="537692B1" w14:textId="77777777" w:rsidR="00BA1538" w:rsidRPr="00BA1538" w:rsidRDefault="00BA1538" w:rsidP="00BA1538">
      <w:pPr>
        <w:pStyle w:val="Zwischenberschrift"/>
        <w:rPr>
          <w:b w:val="0"/>
          <w:noProof/>
        </w:rPr>
      </w:pPr>
      <w:r w:rsidRPr="00BA1538">
        <w:rPr>
          <w:b w:val="0"/>
          <w:noProof/>
        </w:rPr>
        <w:t xml:space="preserve">Abschließend teilen die Autor*innen ihre Erfahrungen und Erkenntnisse aus dem Projekt, ziehen ihr Fazit und geben einen Ausblick mit Tipps für eine gelingende Adaption. </w:t>
      </w:r>
    </w:p>
    <w:p w14:paraId="549629CE" w14:textId="77777777" w:rsidR="00BA1538" w:rsidRPr="00BA1538" w:rsidRDefault="00BA1538" w:rsidP="00BA1538">
      <w:pPr>
        <w:pStyle w:val="Zwischenberschrift"/>
        <w:rPr>
          <w:b w:val="0"/>
          <w:noProof/>
        </w:rPr>
      </w:pPr>
      <w:r w:rsidRPr="00BA1538">
        <w:rPr>
          <w:b w:val="0"/>
          <w:noProof/>
        </w:rPr>
        <w:t xml:space="preserve">Das Projekt ist Teil der Nationalen Dekade für Alphabetisierung und Grundbildung (2016-2026) unter Förderung des Bundesministeriums für Bildung und Forschung. </w:t>
      </w:r>
    </w:p>
    <w:p w14:paraId="6817875E" w14:textId="71249CDF" w:rsidR="00BA1538" w:rsidRPr="008646C4" w:rsidRDefault="00BA1538" w:rsidP="00BA1538">
      <w:pPr>
        <w:pStyle w:val="Zwischenberschrift"/>
        <w:rPr>
          <w:bCs/>
          <w:noProof/>
        </w:rPr>
      </w:pPr>
      <w:r w:rsidRPr="008646C4">
        <w:rPr>
          <w:bCs/>
          <w:noProof/>
        </w:rPr>
        <w:t xml:space="preserve">Quellen: </w:t>
      </w:r>
    </w:p>
    <w:p w14:paraId="4AD23172" w14:textId="77777777" w:rsidR="00BA1538" w:rsidRPr="00BA1538" w:rsidRDefault="00BA1538" w:rsidP="00BA1538">
      <w:pPr>
        <w:pStyle w:val="Zwischenberschrift"/>
        <w:rPr>
          <w:b w:val="0"/>
          <w:noProof/>
        </w:rPr>
      </w:pPr>
      <w:r w:rsidRPr="00BA1538">
        <w:rPr>
          <w:b w:val="0"/>
          <w:noProof/>
        </w:rPr>
        <w:t xml:space="preserve">Menke, B. &amp; Claßen, J., Bundesarbeitskreis Arbeit und Leben e.V. (Hrsg.) (2024). Gesundheitliche Grundbildung in der Arbeitswelt gestalten. </w:t>
      </w:r>
    </w:p>
    <w:p w14:paraId="4B37E416" w14:textId="77777777" w:rsidR="00C22CC5" w:rsidRDefault="00BA1538" w:rsidP="004A6E80">
      <w:pPr>
        <w:pStyle w:val="Zwischenberschrift"/>
        <w:rPr>
          <w:b w:val="0"/>
          <w:noProof/>
        </w:rPr>
      </w:pPr>
      <w:r w:rsidRPr="00BA1538">
        <w:rPr>
          <w:b w:val="0"/>
          <w:noProof/>
        </w:rPr>
        <w:t xml:space="preserve">Bundesministerium für Bildung und Forschung (BMBF) / Kultusministerkonferenz (KMK) (2016): Grundsatzpapier zur Nationalen Dekade für Alphabetisierung und Grundbildung Erwachsener. Den funktionalen Analphabetismus in Deutschland verringern und das Grundbildungsniveau erhöhen. </w:t>
      </w:r>
    </w:p>
    <w:p w14:paraId="771AD5B0" w14:textId="700A0392" w:rsidR="001D38C3" w:rsidRPr="004A6E80" w:rsidRDefault="00047E51" w:rsidP="004A6E80">
      <w:pPr>
        <w:pStyle w:val="Zwischenberschrift"/>
        <w:rPr>
          <w:b w:val="0"/>
          <w:noProof/>
        </w:rPr>
      </w:pPr>
      <w:r w:rsidRPr="002636E7">
        <w:rPr>
          <w:noProof/>
        </w:rPr>
        <w:t>Verlagsinformationen</w:t>
      </w:r>
    </w:p>
    <w:p w14:paraId="40133916" w14:textId="0BC96C49" w:rsidR="007E176D" w:rsidRPr="00BA1538" w:rsidRDefault="007E176D" w:rsidP="007E176D">
      <w:pPr>
        <w:pStyle w:val="Zwischenberschrift"/>
        <w:rPr>
          <w:b w:val="0"/>
          <w:noProof/>
        </w:rPr>
      </w:pPr>
      <w:r w:rsidRPr="00BA1538">
        <w:rPr>
          <w:b w:val="0"/>
          <w:noProof/>
        </w:rPr>
        <w:t xml:space="preserve">Menke, B. &amp; Claßen, J., Bundesarbeitskreis Arbeit und Leben e.V. (Hrsg.) (2024). </w:t>
      </w:r>
      <w:hyperlink r:id="rId11" w:history="1">
        <w:r w:rsidRPr="002F5BA7">
          <w:rPr>
            <w:rStyle w:val="Hyperlink"/>
            <w:b w:val="0"/>
            <w:i/>
            <w:iCs/>
            <w:noProof/>
          </w:rPr>
          <w:t>Gesundheitliche Grundbildung in der Arbeitswelt gestalten</w:t>
        </w:r>
      </w:hyperlink>
      <w:r w:rsidRPr="00BA1538">
        <w:rPr>
          <w:b w:val="0"/>
          <w:noProof/>
        </w:rPr>
        <w:t xml:space="preserve">. </w:t>
      </w:r>
    </w:p>
    <w:p w14:paraId="1051040D" w14:textId="6A85DE4B" w:rsidR="001D38C3" w:rsidRPr="001D38C3" w:rsidRDefault="0021022B" w:rsidP="001D38C3">
      <w:pPr>
        <w:rPr>
          <w:rFonts w:ascii="Arial" w:hAnsi="Arial" w:cs="Arial"/>
          <w:noProof/>
          <w:sz w:val="24"/>
          <w:szCs w:val="24"/>
        </w:rPr>
      </w:pPr>
      <w:r w:rsidRPr="0021022B">
        <w:rPr>
          <w:rFonts w:ascii="Arial" w:hAnsi="Arial" w:cs="Arial"/>
          <w:noProof/>
          <w:sz w:val="24"/>
          <w:szCs w:val="24"/>
        </w:rPr>
        <w:t xml:space="preserve">Die Handreichung steht unter der Lizenz </w:t>
      </w:r>
      <w:hyperlink r:id="rId12" w:history="1">
        <w:r w:rsidRPr="00445728">
          <w:rPr>
            <w:rStyle w:val="Hyperlink"/>
            <w:rFonts w:ascii="Arial" w:hAnsi="Arial" w:cs="Arial"/>
            <w:noProof/>
            <w:sz w:val="24"/>
            <w:szCs w:val="24"/>
          </w:rPr>
          <w:t>CC BY NC SA 4.0</w:t>
        </w:r>
      </w:hyperlink>
      <w:r w:rsidRPr="0021022B">
        <w:rPr>
          <w:rFonts w:ascii="Arial" w:hAnsi="Arial" w:cs="Arial"/>
          <w:noProof/>
          <w:sz w:val="24"/>
          <w:szCs w:val="24"/>
        </w:rPr>
        <w:t xml:space="preserve"> zur Verfügung</w:t>
      </w:r>
      <w:r>
        <w:rPr>
          <w:rFonts w:ascii="Arial" w:hAnsi="Arial" w:cs="Arial"/>
          <w:noProof/>
          <w:sz w:val="24"/>
          <w:szCs w:val="24"/>
        </w:rPr>
        <w:t>.</w:t>
      </w:r>
    </w:p>
    <w:p w14:paraId="30C037C1" w14:textId="77777777" w:rsidR="00BE6E29" w:rsidRPr="002636E7" w:rsidRDefault="00BE6E29" w:rsidP="00EE7A23">
      <w:pPr>
        <w:rPr>
          <w:rFonts w:ascii="Arial" w:hAnsi="Arial" w:cs="Arial"/>
          <w:noProof/>
          <w:sz w:val="24"/>
          <w:szCs w:val="24"/>
        </w:rPr>
      </w:pPr>
    </w:p>
    <w:p w14:paraId="77E31FC2" w14:textId="56159F66" w:rsidR="00EE7A23" w:rsidRPr="008646C4" w:rsidRDefault="00D67099" w:rsidP="00EE7A23">
      <w:pPr>
        <w:rPr>
          <w:rFonts w:ascii="Arial" w:hAnsi="Arial" w:cs="Arial"/>
          <w:i/>
          <w:iCs/>
          <w:noProof/>
          <w:sz w:val="24"/>
          <w:szCs w:val="24"/>
        </w:rPr>
      </w:pPr>
      <w:hyperlink r:id="rId13" w:history="1">
        <w:r w:rsidR="00EE7A23" w:rsidRPr="008646C4">
          <w:rPr>
            <w:rStyle w:val="Hyperlink"/>
            <w:rFonts w:ascii="Arial" w:hAnsi="Arial" w:cs="Arial"/>
            <w:i/>
            <w:iCs/>
            <w:noProof/>
            <w:sz w:val="24"/>
            <w:szCs w:val="24"/>
          </w:rPr>
          <w:t>CC BY-SA 3.0 DE</w:t>
        </w:r>
      </w:hyperlink>
      <w:r w:rsidR="00EE7A23" w:rsidRPr="008646C4">
        <w:rPr>
          <w:rFonts w:ascii="Arial" w:hAnsi="Arial" w:cs="Arial"/>
          <w:i/>
          <w:iCs/>
          <w:noProof/>
          <w:sz w:val="24"/>
          <w:szCs w:val="24"/>
        </w:rPr>
        <w:t xml:space="preserve"> von </w:t>
      </w:r>
      <w:r w:rsidR="00BE087C" w:rsidRPr="008646C4">
        <w:rPr>
          <w:rFonts w:ascii="Arial" w:hAnsi="Arial" w:cs="Arial"/>
          <w:b/>
          <w:bCs/>
          <w:i/>
          <w:iCs/>
          <w:noProof/>
          <w:sz w:val="24"/>
          <w:szCs w:val="24"/>
        </w:rPr>
        <w:t>Susanne Witt</w:t>
      </w:r>
      <w:r w:rsidR="00BE087C" w:rsidRPr="008646C4">
        <w:rPr>
          <w:rFonts w:ascii="Arial" w:hAnsi="Arial" w:cs="Arial"/>
          <w:i/>
          <w:iCs/>
          <w:noProof/>
          <w:sz w:val="24"/>
          <w:szCs w:val="24"/>
        </w:rPr>
        <w:t xml:space="preserve"> für </w:t>
      </w:r>
      <w:r w:rsidR="00BE087C" w:rsidRPr="008646C4">
        <w:rPr>
          <w:rFonts w:ascii="Arial" w:hAnsi="Arial" w:cs="Arial"/>
          <w:b/>
          <w:bCs/>
          <w:i/>
          <w:iCs/>
          <w:noProof/>
          <w:sz w:val="24"/>
          <w:szCs w:val="24"/>
        </w:rPr>
        <w:t>wb-web</w:t>
      </w:r>
      <w:r w:rsidR="00BE087C" w:rsidRPr="008646C4">
        <w:rPr>
          <w:rFonts w:ascii="Arial" w:hAnsi="Arial" w:cs="Arial"/>
          <w:i/>
          <w:iCs/>
          <w:noProof/>
          <w:sz w:val="24"/>
          <w:szCs w:val="24"/>
        </w:rPr>
        <w:t xml:space="preserve"> (</w:t>
      </w:r>
      <w:r w:rsidR="005E1B8E" w:rsidRPr="008646C4">
        <w:rPr>
          <w:rFonts w:ascii="Arial" w:hAnsi="Arial" w:cs="Arial"/>
          <w:i/>
          <w:iCs/>
          <w:noProof/>
          <w:sz w:val="24"/>
          <w:szCs w:val="24"/>
        </w:rPr>
        <w:t>0</w:t>
      </w:r>
      <w:r w:rsidR="00926827" w:rsidRPr="008646C4">
        <w:rPr>
          <w:rFonts w:ascii="Arial" w:hAnsi="Arial" w:cs="Arial"/>
          <w:i/>
          <w:iCs/>
          <w:noProof/>
          <w:sz w:val="24"/>
          <w:szCs w:val="24"/>
        </w:rPr>
        <w:t>9</w:t>
      </w:r>
      <w:r w:rsidR="005E1B8E" w:rsidRPr="008646C4">
        <w:rPr>
          <w:rFonts w:ascii="Arial" w:hAnsi="Arial" w:cs="Arial"/>
          <w:i/>
          <w:iCs/>
          <w:noProof/>
          <w:sz w:val="24"/>
          <w:szCs w:val="24"/>
        </w:rPr>
        <w:t>.12.</w:t>
      </w:r>
      <w:r w:rsidR="00BE087C" w:rsidRPr="008646C4">
        <w:rPr>
          <w:rFonts w:ascii="Arial" w:hAnsi="Arial" w:cs="Arial"/>
          <w:i/>
          <w:iCs/>
          <w:noProof/>
          <w:sz w:val="24"/>
          <w:szCs w:val="24"/>
        </w:rPr>
        <w:t>2024</w:t>
      </w:r>
      <w:r w:rsidR="00EE7A23" w:rsidRPr="008646C4">
        <w:rPr>
          <w:rFonts w:ascii="Arial" w:hAnsi="Arial" w:cs="Arial"/>
          <w:i/>
          <w:iCs/>
          <w:noProof/>
          <w:sz w:val="24"/>
          <w:szCs w:val="24"/>
        </w:rPr>
        <w:t>)</w:t>
      </w:r>
    </w:p>
    <w:sectPr w:rsidR="00EE7A23" w:rsidRPr="008646C4" w:rsidSect="00510D62">
      <w:headerReference w:type="default" r:id="rId14"/>
      <w:footerReference w:type="default" r:id="rId15"/>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0E29" w14:textId="77777777" w:rsidR="00491366" w:rsidRDefault="00491366" w:rsidP="00014AE4">
      <w:pPr>
        <w:spacing w:after="0" w:line="240" w:lineRule="auto"/>
      </w:pPr>
      <w:r>
        <w:separator/>
      </w:r>
    </w:p>
  </w:endnote>
  <w:endnote w:type="continuationSeparator" w:id="0">
    <w:p w14:paraId="302BE4BE" w14:textId="77777777" w:rsidR="00491366" w:rsidRDefault="00491366" w:rsidP="00014AE4">
      <w:pPr>
        <w:spacing w:after="0" w:line="240" w:lineRule="auto"/>
      </w:pPr>
      <w:r>
        <w:continuationSeparator/>
      </w:r>
    </w:p>
  </w:endnote>
  <w:endnote w:type="continuationNotice" w:id="1">
    <w:p w14:paraId="6F7D5118" w14:textId="77777777" w:rsidR="00491366" w:rsidRDefault="0049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58240"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1378" w14:textId="77777777" w:rsidR="00491366" w:rsidRDefault="00491366" w:rsidP="00014AE4">
      <w:pPr>
        <w:spacing w:after="0" w:line="240" w:lineRule="auto"/>
      </w:pPr>
      <w:r>
        <w:separator/>
      </w:r>
    </w:p>
  </w:footnote>
  <w:footnote w:type="continuationSeparator" w:id="0">
    <w:p w14:paraId="37423419" w14:textId="77777777" w:rsidR="00491366" w:rsidRDefault="00491366" w:rsidP="00014AE4">
      <w:pPr>
        <w:spacing w:after="0" w:line="240" w:lineRule="auto"/>
      </w:pPr>
      <w:r>
        <w:continuationSeparator/>
      </w:r>
    </w:p>
  </w:footnote>
  <w:footnote w:type="continuationNotice" w:id="1">
    <w:p w14:paraId="76C1746B" w14:textId="77777777" w:rsidR="00491366" w:rsidRDefault="0049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58243"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58241" behindDoc="0" locked="0" layoutInCell="1" allowOverlap="1" wp14:anchorId="08531051" wp14:editId="66CBF5FA">
          <wp:simplePos x="0" y="0"/>
          <wp:positionH relativeFrom="column">
            <wp:posOffset>-899795</wp:posOffset>
          </wp:positionH>
          <wp:positionV relativeFrom="paragraph">
            <wp:posOffset>-432822</wp:posOffset>
          </wp:positionV>
          <wp:extent cx="7562215" cy="609600"/>
          <wp:effectExtent l="0" t="0" r="635" b="0"/>
          <wp:wrapNone/>
          <wp:docPr id="55" name="Grafik 5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a:hlinkClick r:id="rId2"/>
                  </pic:cNvPr>
                  <pic:cNvPicPr>
                    <a:picLocks noChangeAspect="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58242"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CD70206" id="Rechteck 11" o:spid="_x0000_s1026" style="position:absolute;margin-left:291pt;margin-top:-29.4pt;width:230.3pt;height:39.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405497"/>
    <w:multiLevelType w:val="hybridMultilevel"/>
    <w:tmpl w:val="8A7AD1D8"/>
    <w:lvl w:ilvl="0" w:tplc="089C9BF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5295DE2"/>
    <w:multiLevelType w:val="hybridMultilevel"/>
    <w:tmpl w:val="F0C43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4D23ED"/>
    <w:multiLevelType w:val="hybridMultilevel"/>
    <w:tmpl w:val="DBD8A9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562399">
    <w:abstractNumId w:val="0"/>
  </w:num>
  <w:num w:numId="2" w16cid:durableId="340787851">
    <w:abstractNumId w:val="3"/>
  </w:num>
  <w:num w:numId="3" w16cid:durableId="2038506449">
    <w:abstractNumId w:val="6"/>
  </w:num>
  <w:num w:numId="4" w16cid:durableId="1746762908">
    <w:abstractNumId w:val="4"/>
  </w:num>
  <w:num w:numId="5" w16cid:durableId="550045948">
    <w:abstractNumId w:val="7"/>
  </w:num>
  <w:num w:numId="6" w16cid:durableId="1076325448">
    <w:abstractNumId w:val="2"/>
  </w:num>
  <w:num w:numId="7" w16cid:durableId="1900047558">
    <w:abstractNumId w:val="8"/>
  </w:num>
  <w:num w:numId="8" w16cid:durableId="513424517">
    <w:abstractNumId w:val="1"/>
  </w:num>
  <w:num w:numId="9" w16cid:durableId="162938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00C8C"/>
    <w:rsid w:val="00007930"/>
    <w:rsid w:val="00011B46"/>
    <w:rsid w:val="00014AE4"/>
    <w:rsid w:val="00015D62"/>
    <w:rsid w:val="0002705C"/>
    <w:rsid w:val="00030285"/>
    <w:rsid w:val="00031746"/>
    <w:rsid w:val="00037CDD"/>
    <w:rsid w:val="00044A6F"/>
    <w:rsid w:val="00044E0C"/>
    <w:rsid w:val="00047851"/>
    <w:rsid w:val="00047E51"/>
    <w:rsid w:val="000602A1"/>
    <w:rsid w:val="00074A71"/>
    <w:rsid w:val="000846D5"/>
    <w:rsid w:val="00090FEE"/>
    <w:rsid w:val="0009347A"/>
    <w:rsid w:val="000A3B0D"/>
    <w:rsid w:val="000A44F1"/>
    <w:rsid w:val="000C6BAB"/>
    <w:rsid w:val="000D021F"/>
    <w:rsid w:val="000D373C"/>
    <w:rsid w:val="000E1B9B"/>
    <w:rsid w:val="000E4533"/>
    <w:rsid w:val="000E4BEB"/>
    <w:rsid w:val="000E5A0E"/>
    <w:rsid w:val="000E5E17"/>
    <w:rsid w:val="000E7F1C"/>
    <w:rsid w:val="000F3B5F"/>
    <w:rsid w:val="001014B1"/>
    <w:rsid w:val="00113239"/>
    <w:rsid w:val="00121A69"/>
    <w:rsid w:val="00121CF2"/>
    <w:rsid w:val="00126394"/>
    <w:rsid w:val="00143071"/>
    <w:rsid w:val="0017476E"/>
    <w:rsid w:val="00182D7A"/>
    <w:rsid w:val="00184552"/>
    <w:rsid w:val="00195D9E"/>
    <w:rsid w:val="00197D6E"/>
    <w:rsid w:val="00197F99"/>
    <w:rsid w:val="001A1CEF"/>
    <w:rsid w:val="001A2958"/>
    <w:rsid w:val="001B4A82"/>
    <w:rsid w:val="001D1289"/>
    <w:rsid w:val="001D3694"/>
    <w:rsid w:val="001D383E"/>
    <w:rsid w:val="001D38C3"/>
    <w:rsid w:val="001D600A"/>
    <w:rsid w:val="001F3769"/>
    <w:rsid w:val="00206EFA"/>
    <w:rsid w:val="00206FAA"/>
    <w:rsid w:val="0021022B"/>
    <w:rsid w:val="0022296F"/>
    <w:rsid w:val="00224ED6"/>
    <w:rsid w:val="00240C3A"/>
    <w:rsid w:val="00241672"/>
    <w:rsid w:val="0024278D"/>
    <w:rsid w:val="00244AA1"/>
    <w:rsid w:val="002636E7"/>
    <w:rsid w:val="00267FE4"/>
    <w:rsid w:val="002704D9"/>
    <w:rsid w:val="00271CE8"/>
    <w:rsid w:val="00291523"/>
    <w:rsid w:val="00291F24"/>
    <w:rsid w:val="002D0E89"/>
    <w:rsid w:val="002E7F34"/>
    <w:rsid w:val="002F5BA7"/>
    <w:rsid w:val="0030077E"/>
    <w:rsid w:val="00300DAA"/>
    <w:rsid w:val="003136FB"/>
    <w:rsid w:val="003138AE"/>
    <w:rsid w:val="00316489"/>
    <w:rsid w:val="00323E23"/>
    <w:rsid w:val="0032723D"/>
    <w:rsid w:val="00332613"/>
    <w:rsid w:val="00333725"/>
    <w:rsid w:val="00335C38"/>
    <w:rsid w:val="0035041E"/>
    <w:rsid w:val="00354CDE"/>
    <w:rsid w:val="003568B8"/>
    <w:rsid w:val="003614AA"/>
    <w:rsid w:val="003750A2"/>
    <w:rsid w:val="003761AC"/>
    <w:rsid w:val="00381D03"/>
    <w:rsid w:val="003867D0"/>
    <w:rsid w:val="00391B06"/>
    <w:rsid w:val="00394064"/>
    <w:rsid w:val="003A1C52"/>
    <w:rsid w:val="003B470D"/>
    <w:rsid w:val="003B4CE0"/>
    <w:rsid w:val="003C3833"/>
    <w:rsid w:val="003C55BA"/>
    <w:rsid w:val="003C59E4"/>
    <w:rsid w:val="003D74A4"/>
    <w:rsid w:val="003E333D"/>
    <w:rsid w:val="003E6E38"/>
    <w:rsid w:val="004045E3"/>
    <w:rsid w:val="00415B5A"/>
    <w:rsid w:val="0042042E"/>
    <w:rsid w:val="00430A4E"/>
    <w:rsid w:val="004404D6"/>
    <w:rsid w:val="00443D66"/>
    <w:rsid w:val="00445728"/>
    <w:rsid w:val="00446058"/>
    <w:rsid w:val="00450499"/>
    <w:rsid w:val="004568BF"/>
    <w:rsid w:val="00464E8C"/>
    <w:rsid w:val="00465407"/>
    <w:rsid w:val="00467BA1"/>
    <w:rsid w:val="0047079E"/>
    <w:rsid w:val="0048036C"/>
    <w:rsid w:val="0048365A"/>
    <w:rsid w:val="00491366"/>
    <w:rsid w:val="004931B7"/>
    <w:rsid w:val="004A33CC"/>
    <w:rsid w:val="004A6E80"/>
    <w:rsid w:val="004A773B"/>
    <w:rsid w:val="004B51CF"/>
    <w:rsid w:val="004B5EAE"/>
    <w:rsid w:val="004D0F65"/>
    <w:rsid w:val="004D57AF"/>
    <w:rsid w:val="004D6C12"/>
    <w:rsid w:val="004D7B78"/>
    <w:rsid w:val="004E28A0"/>
    <w:rsid w:val="004E6691"/>
    <w:rsid w:val="005051AD"/>
    <w:rsid w:val="00505B7F"/>
    <w:rsid w:val="00506977"/>
    <w:rsid w:val="00506EDD"/>
    <w:rsid w:val="005103F9"/>
    <w:rsid w:val="00510D62"/>
    <w:rsid w:val="00514FA3"/>
    <w:rsid w:val="00515B2A"/>
    <w:rsid w:val="00527C57"/>
    <w:rsid w:val="0054160E"/>
    <w:rsid w:val="0054224D"/>
    <w:rsid w:val="005462AD"/>
    <w:rsid w:val="00567867"/>
    <w:rsid w:val="005702BD"/>
    <w:rsid w:val="00573B8E"/>
    <w:rsid w:val="00574BEB"/>
    <w:rsid w:val="0058114C"/>
    <w:rsid w:val="005952F3"/>
    <w:rsid w:val="005B091F"/>
    <w:rsid w:val="005B2946"/>
    <w:rsid w:val="005B75CB"/>
    <w:rsid w:val="005B7D92"/>
    <w:rsid w:val="005C0361"/>
    <w:rsid w:val="005D2788"/>
    <w:rsid w:val="005D7FB3"/>
    <w:rsid w:val="005E1B8E"/>
    <w:rsid w:val="005E3B44"/>
    <w:rsid w:val="005F6D3B"/>
    <w:rsid w:val="006027BA"/>
    <w:rsid w:val="0061648F"/>
    <w:rsid w:val="00621195"/>
    <w:rsid w:val="006246A2"/>
    <w:rsid w:val="00624875"/>
    <w:rsid w:val="006305FC"/>
    <w:rsid w:val="00635D7A"/>
    <w:rsid w:val="006413A1"/>
    <w:rsid w:val="006523B1"/>
    <w:rsid w:val="00655E44"/>
    <w:rsid w:val="006568D1"/>
    <w:rsid w:val="0066222D"/>
    <w:rsid w:val="00667341"/>
    <w:rsid w:val="00667C3E"/>
    <w:rsid w:val="00667D78"/>
    <w:rsid w:val="00673135"/>
    <w:rsid w:val="0067451F"/>
    <w:rsid w:val="00675E18"/>
    <w:rsid w:val="00676958"/>
    <w:rsid w:val="00683AF4"/>
    <w:rsid w:val="006855AD"/>
    <w:rsid w:val="00695FD1"/>
    <w:rsid w:val="006977BC"/>
    <w:rsid w:val="006A036C"/>
    <w:rsid w:val="006A2F06"/>
    <w:rsid w:val="006D0BBD"/>
    <w:rsid w:val="006D5D2F"/>
    <w:rsid w:val="006D6F23"/>
    <w:rsid w:val="0070075A"/>
    <w:rsid w:val="007047CB"/>
    <w:rsid w:val="00706FCB"/>
    <w:rsid w:val="00712254"/>
    <w:rsid w:val="007202FA"/>
    <w:rsid w:val="00723B4B"/>
    <w:rsid w:val="00740EA2"/>
    <w:rsid w:val="00745EE5"/>
    <w:rsid w:val="0074684B"/>
    <w:rsid w:val="00760572"/>
    <w:rsid w:val="00772891"/>
    <w:rsid w:val="0078233A"/>
    <w:rsid w:val="007904C7"/>
    <w:rsid w:val="00791BBD"/>
    <w:rsid w:val="007930AE"/>
    <w:rsid w:val="007A1B19"/>
    <w:rsid w:val="007A5A64"/>
    <w:rsid w:val="007A7628"/>
    <w:rsid w:val="007B1345"/>
    <w:rsid w:val="007B25A0"/>
    <w:rsid w:val="007D78F1"/>
    <w:rsid w:val="007E0C79"/>
    <w:rsid w:val="007E176D"/>
    <w:rsid w:val="007E2898"/>
    <w:rsid w:val="007E4033"/>
    <w:rsid w:val="007F1A2B"/>
    <w:rsid w:val="00805388"/>
    <w:rsid w:val="00807454"/>
    <w:rsid w:val="008115F3"/>
    <w:rsid w:val="00825042"/>
    <w:rsid w:val="0082572F"/>
    <w:rsid w:val="00827BDB"/>
    <w:rsid w:val="008352ED"/>
    <w:rsid w:val="00836792"/>
    <w:rsid w:val="00843526"/>
    <w:rsid w:val="00850C31"/>
    <w:rsid w:val="008547ED"/>
    <w:rsid w:val="0085593E"/>
    <w:rsid w:val="00862F3E"/>
    <w:rsid w:val="008646C4"/>
    <w:rsid w:val="008677F0"/>
    <w:rsid w:val="00867A88"/>
    <w:rsid w:val="008801AD"/>
    <w:rsid w:val="00884F3D"/>
    <w:rsid w:val="008939FF"/>
    <w:rsid w:val="008A2178"/>
    <w:rsid w:val="008A293C"/>
    <w:rsid w:val="008A2EA0"/>
    <w:rsid w:val="008A4E06"/>
    <w:rsid w:val="008C1D48"/>
    <w:rsid w:val="008C7007"/>
    <w:rsid w:val="008D2D18"/>
    <w:rsid w:val="008D7001"/>
    <w:rsid w:val="008E0E8C"/>
    <w:rsid w:val="008F1FE3"/>
    <w:rsid w:val="008F50F1"/>
    <w:rsid w:val="00903A02"/>
    <w:rsid w:val="00911799"/>
    <w:rsid w:val="0091302E"/>
    <w:rsid w:val="00913C77"/>
    <w:rsid w:val="0091432B"/>
    <w:rsid w:val="00920098"/>
    <w:rsid w:val="009218A4"/>
    <w:rsid w:val="00926827"/>
    <w:rsid w:val="00944115"/>
    <w:rsid w:val="0095483E"/>
    <w:rsid w:val="00956DB9"/>
    <w:rsid w:val="009605AB"/>
    <w:rsid w:val="009648AE"/>
    <w:rsid w:val="00966282"/>
    <w:rsid w:val="009673AF"/>
    <w:rsid w:val="0097090A"/>
    <w:rsid w:val="00980155"/>
    <w:rsid w:val="0098279A"/>
    <w:rsid w:val="00990C48"/>
    <w:rsid w:val="009944E9"/>
    <w:rsid w:val="009A28BB"/>
    <w:rsid w:val="009A75F1"/>
    <w:rsid w:val="009B6C91"/>
    <w:rsid w:val="009D1063"/>
    <w:rsid w:val="009D2ED4"/>
    <w:rsid w:val="009D6CF1"/>
    <w:rsid w:val="009F5ED5"/>
    <w:rsid w:val="00A00150"/>
    <w:rsid w:val="00A06D19"/>
    <w:rsid w:val="00A170F1"/>
    <w:rsid w:val="00A21D87"/>
    <w:rsid w:val="00A4490E"/>
    <w:rsid w:val="00A44E17"/>
    <w:rsid w:val="00A47A9D"/>
    <w:rsid w:val="00A61253"/>
    <w:rsid w:val="00A623FF"/>
    <w:rsid w:val="00A624DA"/>
    <w:rsid w:val="00A651A5"/>
    <w:rsid w:val="00A665FA"/>
    <w:rsid w:val="00A66DA0"/>
    <w:rsid w:val="00A67AFD"/>
    <w:rsid w:val="00A7329C"/>
    <w:rsid w:val="00A74B15"/>
    <w:rsid w:val="00A75AC1"/>
    <w:rsid w:val="00A75EF0"/>
    <w:rsid w:val="00A7652F"/>
    <w:rsid w:val="00A774B9"/>
    <w:rsid w:val="00AA1E68"/>
    <w:rsid w:val="00AB1845"/>
    <w:rsid w:val="00AC2223"/>
    <w:rsid w:val="00AC2A8B"/>
    <w:rsid w:val="00AC75CD"/>
    <w:rsid w:val="00AD3806"/>
    <w:rsid w:val="00AE7237"/>
    <w:rsid w:val="00B01655"/>
    <w:rsid w:val="00B0587D"/>
    <w:rsid w:val="00B0730F"/>
    <w:rsid w:val="00B11ED0"/>
    <w:rsid w:val="00B17099"/>
    <w:rsid w:val="00B21058"/>
    <w:rsid w:val="00B27E74"/>
    <w:rsid w:val="00B3427B"/>
    <w:rsid w:val="00B3451E"/>
    <w:rsid w:val="00B37780"/>
    <w:rsid w:val="00B37840"/>
    <w:rsid w:val="00B522D6"/>
    <w:rsid w:val="00B55915"/>
    <w:rsid w:val="00B70DAA"/>
    <w:rsid w:val="00B7659B"/>
    <w:rsid w:val="00B900C9"/>
    <w:rsid w:val="00B97108"/>
    <w:rsid w:val="00B97962"/>
    <w:rsid w:val="00BA1538"/>
    <w:rsid w:val="00BA20BD"/>
    <w:rsid w:val="00BC09F7"/>
    <w:rsid w:val="00BC2391"/>
    <w:rsid w:val="00BC294A"/>
    <w:rsid w:val="00BC7D80"/>
    <w:rsid w:val="00BD1E7C"/>
    <w:rsid w:val="00BD6FD1"/>
    <w:rsid w:val="00BD7A19"/>
    <w:rsid w:val="00BE03E0"/>
    <w:rsid w:val="00BE087C"/>
    <w:rsid w:val="00BE6E29"/>
    <w:rsid w:val="00BF54BB"/>
    <w:rsid w:val="00C07190"/>
    <w:rsid w:val="00C110FE"/>
    <w:rsid w:val="00C12156"/>
    <w:rsid w:val="00C15195"/>
    <w:rsid w:val="00C16D09"/>
    <w:rsid w:val="00C22CC5"/>
    <w:rsid w:val="00C3075E"/>
    <w:rsid w:val="00C33E3E"/>
    <w:rsid w:val="00C354BD"/>
    <w:rsid w:val="00C46123"/>
    <w:rsid w:val="00C52719"/>
    <w:rsid w:val="00C675B9"/>
    <w:rsid w:val="00C710D4"/>
    <w:rsid w:val="00C8406E"/>
    <w:rsid w:val="00C841D3"/>
    <w:rsid w:val="00C85B4C"/>
    <w:rsid w:val="00C871A0"/>
    <w:rsid w:val="00C90E43"/>
    <w:rsid w:val="00C93D17"/>
    <w:rsid w:val="00C93E59"/>
    <w:rsid w:val="00CA2F56"/>
    <w:rsid w:val="00CA3269"/>
    <w:rsid w:val="00CA33A1"/>
    <w:rsid w:val="00CB21C0"/>
    <w:rsid w:val="00CB380E"/>
    <w:rsid w:val="00CC48F5"/>
    <w:rsid w:val="00CC5DE9"/>
    <w:rsid w:val="00CC6A8D"/>
    <w:rsid w:val="00CD6170"/>
    <w:rsid w:val="00CE408F"/>
    <w:rsid w:val="00CE48FE"/>
    <w:rsid w:val="00D01364"/>
    <w:rsid w:val="00D03664"/>
    <w:rsid w:val="00D10373"/>
    <w:rsid w:val="00D10B2C"/>
    <w:rsid w:val="00D11A8D"/>
    <w:rsid w:val="00D142E2"/>
    <w:rsid w:val="00D155CE"/>
    <w:rsid w:val="00D17A67"/>
    <w:rsid w:val="00D24B79"/>
    <w:rsid w:val="00D33E27"/>
    <w:rsid w:val="00D36695"/>
    <w:rsid w:val="00D45139"/>
    <w:rsid w:val="00D46822"/>
    <w:rsid w:val="00D55CAF"/>
    <w:rsid w:val="00D5630C"/>
    <w:rsid w:val="00D571FB"/>
    <w:rsid w:val="00D65C94"/>
    <w:rsid w:val="00D67099"/>
    <w:rsid w:val="00D674B3"/>
    <w:rsid w:val="00D80BFD"/>
    <w:rsid w:val="00D82277"/>
    <w:rsid w:val="00D91418"/>
    <w:rsid w:val="00D923C6"/>
    <w:rsid w:val="00D9641B"/>
    <w:rsid w:val="00DA0E3C"/>
    <w:rsid w:val="00DA1344"/>
    <w:rsid w:val="00DB0C7A"/>
    <w:rsid w:val="00DB41F3"/>
    <w:rsid w:val="00DB4304"/>
    <w:rsid w:val="00DB4FF9"/>
    <w:rsid w:val="00DB6CE9"/>
    <w:rsid w:val="00DC12F1"/>
    <w:rsid w:val="00DC4A25"/>
    <w:rsid w:val="00DC711D"/>
    <w:rsid w:val="00DD3EAB"/>
    <w:rsid w:val="00DE073A"/>
    <w:rsid w:val="00DE3271"/>
    <w:rsid w:val="00DE3739"/>
    <w:rsid w:val="00DE3DCD"/>
    <w:rsid w:val="00DE69A8"/>
    <w:rsid w:val="00DF46A0"/>
    <w:rsid w:val="00DF70EC"/>
    <w:rsid w:val="00E044C4"/>
    <w:rsid w:val="00E04D31"/>
    <w:rsid w:val="00E056E0"/>
    <w:rsid w:val="00E16BE1"/>
    <w:rsid w:val="00E203E0"/>
    <w:rsid w:val="00E23AF4"/>
    <w:rsid w:val="00E30873"/>
    <w:rsid w:val="00E37954"/>
    <w:rsid w:val="00E4708D"/>
    <w:rsid w:val="00E52315"/>
    <w:rsid w:val="00E53294"/>
    <w:rsid w:val="00E5546C"/>
    <w:rsid w:val="00E6305B"/>
    <w:rsid w:val="00E678F7"/>
    <w:rsid w:val="00E83174"/>
    <w:rsid w:val="00E84DD0"/>
    <w:rsid w:val="00E905C4"/>
    <w:rsid w:val="00E90A03"/>
    <w:rsid w:val="00E91170"/>
    <w:rsid w:val="00E93BFA"/>
    <w:rsid w:val="00E94598"/>
    <w:rsid w:val="00E94D90"/>
    <w:rsid w:val="00E95AEA"/>
    <w:rsid w:val="00E96461"/>
    <w:rsid w:val="00E9661F"/>
    <w:rsid w:val="00EA51EC"/>
    <w:rsid w:val="00EA6B9C"/>
    <w:rsid w:val="00EB15EA"/>
    <w:rsid w:val="00EB17B8"/>
    <w:rsid w:val="00EB7C93"/>
    <w:rsid w:val="00EC152D"/>
    <w:rsid w:val="00ED0DBD"/>
    <w:rsid w:val="00ED258A"/>
    <w:rsid w:val="00ED65AA"/>
    <w:rsid w:val="00EE3EE3"/>
    <w:rsid w:val="00EE7A23"/>
    <w:rsid w:val="00EF4245"/>
    <w:rsid w:val="00EF4956"/>
    <w:rsid w:val="00F03046"/>
    <w:rsid w:val="00F1695B"/>
    <w:rsid w:val="00F20B3A"/>
    <w:rsid w:val="00F3196D"/>
    <w:rsid w:val="00F345BD"/>
    <w:rsid w:val="00F37D0E"/>
    <w:rsid w:val="00F44F1D"/>
    <w:rsid w:val="00F456C1"/>
    <w:rsid w:val="00F6236E"/>
    <w:rsid w:val="00F63B18"/>
    <w:rsid w:val="00F668A1"/>
    <w:rsid w:val="00F70C60"/>
    <w:rsid w:val="00F71E15"/>
    <w:rsid w:val="00F72159"/>
    <w:rsid w:val="00F822AC"/>
    <w:rsid w:val="00F9557A"/>
    <w:rsid w:val="00FB0983"/>
    <w:rsid w:val="00FD2BC6"/>
    <w:rsid w:val="00FD3A72"/>
    <w:rsid w:val="00FD4313"/>
    <w:rsid w:val="00FD6C4B"/>
    <w:rsid w:val="00FE012E"/>
    <w:rsid w:val="00FE2A18"/>
    <w:rsid w:val="00FF7FD0"/>
    <w:rsid w:val="1427192D"/>
    <w:rsid w:val="19AEED94"/>
    <w:rsid w:val="28AB96F5"/>
    <w:rsid w:val="32EE354C"/>
    <w:rsid w:val="467FB184"/>
    <w:rsid w:val="48386562"/>
    <w:rsid w:val="500B91AD"/>
    <w:rsid w:val="584C341B"/>
    <w:rsid w:val="5F599956"/>
    <w:rsid w:val="6377AC23"/>
    <w:rsid w:val="693D2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E9496"/>
  <w15:docId w15:val="{476EC717-55CE-48A2-9104-EC6ACB4E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BE6E29"/>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92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285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74787960">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29499468">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2116012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 TargetMode="External"/><Relationship Id="rId13" Type="http://schemas.openxmlformats.org/officeDocument/2006/relationships/hyperlink" Target="https://creativecommons.org/licenses/by-sa/3.0/de/dee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iskom.de/fileadmin/user_upload/240916-Handreichung-Gesundheitliche-Grund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b-web.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8877-EA7B-459F-8CB3-6CCE3B0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3499</CharactersWithSpaces>
  <SharedDoc>false</SharedDoc>
  <HLinks>
    <vt:vector size="24" baseType="variant">
      <vt:variant>
        <vt:i4>3735656</vt:i4>
      </vt:variant>
      <vt:variant>
        <vt:i4>6</vt:i4>
      </vt:variant>
      <vt:variant>
        <vt:i4>0</vt:i4>
      </vt:variant>
      <vt:variant>
        <vt:i4>5</vt:i4>
      </vt:variant>
      <vt:variant>
        <vt:lpwstr>https://www.wbv.de/shop/Foerderungsstrukturen-der-Weiterbildung-I77642</vt:lpwstr>
      </vt:variant>
      <vt:variant>
        <vt:lpwstr/>
      </vt:variant>
      <vt:variant>
        <vt:i4>1966164</vt:i4>
      </vt:variant>
      <vt:variant>
        <vt:i4>3</vt:i4>
      </vt:variant>
      <vt:variant>
        <vt:i4>0</vt:i4>
      </vt:variant>
      <vt:variant>
        <vt:i4>5</vt:i4>
      </vt:variant>
      <vt:variant>
        <vt:lpwstr>https://doi.org/10.3278/9783763977642</vt:lpwstr>
      </vt:variant>
      <vt:variant>
        <vt:lpwstr/>
      </vt:variant>
      <vt:variant>
        <vt:i4>1966164</vt:i4>
      </vt:variant>
      <vt:variant>
        <vt:i4>0</vt:i4>
      </vt:variant>
      <vt:variant>
        <vt:i4>0</vt:i4>
      </vt:variant>
      <vt:variant>
        <vt:i4>5</vt:i4>
      </vt:variant>
      <vt:variant>
        <vt:lpwstr>https://doi.org/10.3278/9783763977642</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Witt, Susanne</cp:lastModifiedBy>
  <cp:revision>15</cp:revision>
  <cp:lastPrinted>2024-12-05T09:06:00Z</cp:lastPrinted>
  <dcterms:created xsi:type="dcterms:W3CDTF">2024-12-05T08:56:00Z</dcterms:created>
  <dcterms:modified xsi:type="dcterms:W3CDTF">2024-12-05T09:19:00Z</dcterms:modified>
</cp:coreProperties>
</file>