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887D0" w14:textId="27F3E08B" w:rsidR="0059615E" w:rsidRDefault="0059615E" w:rsidP="0059615E">
      <w:r>
        <w:t>Buchvorstellung</w:t>
      </w:r>
    </w:p>
    <w:p w14:paraId="2FAB559F" w14:textId="10A9CDCA" w:rsidR="009A3012" w:rsidRDefault="00855915" w:rsidP="009A3012">
      <w:pPr>
        <w:pStyle w:val="StandardWeb"/>
        <w:shd w:val="clear" w:color="auto" w:fill="FFFFFF"/>
        <w:spacing w:before="0" w:beforeAutospacing="0" w:after="0" w:afterAutospacing="0" w:line="276" w:lineRule="auto"/>
        <w:rPr>
          <w:rFonts w:ascii="Arial" w:eastAsiaTheme="minorHAnsi" w:hAnsi="Arial" w:cs="Arial"/>
          <w:b/>
          <w:color w:val="0049A2"/>
          <w:sz w:val="32"/>
          <w:szCs w:val="22"/>
          <w:lang w:eastAsia="en-US"/>
        </w:rPr>
      </w:pPr>
      <w:r w:rsidRPr="00855915">
        <w:rPr>
          <w:rFonts w:ascii="Arial" w:eastAsiaTheme="minorHAnsi" w:hAnsi="Arial" w:cs="Arial"/>
          <w:b/>
          <w:color w:val="0049A2"/>
          <w:sz w:val="32"/>
          <w:szCs w:val="22"/>
          <w:lang w:eastAsia="en-US"/>
        </w:rPr>
        <w:t>Arbeitslehre und Resilienz</w:t>
      </w:r>
    </w:p>
    <w:p w14:paraId="555BF8F2" w14:textId="44C8C8FB" w:rsidR="00987AC5" w:rsidRDefault="00855915" w:rsidP="009A3012">
      <w:pPr>
        <w:pStyle w:val="StandardWeb"/>
        <w:shd w:val="clear" w:color="auto" w:fill="FFFFFF"/>
        <w:spacing w:before="0" w:beforeAutospacing="0" w:after="0" w:afterAutospacing="0" w:line="276" w:lineRule="auto"/>
        <w:rPr>
          <w:rFonts w:ascii="Arial" w:eastAsiaTheme="minorHAnsi" w:hAnsi="Arial" w:cs="Arial"/>
          <w:b/>
          <w:color w:val="0049A2"/>
          <w:szCs w:val="18"/>
          <w:lang w:eastAsia="en-US"/>
        </w:rPr>
      </w:pPr>
      <w:r w:rsidRPr="00855915">
        <w:rPr>
          <w:rFonts w:ascii="Arial" w:eastAsiaTheme="minorHAnsi" w:hAnsi="Arial" w:cs="Arial"/>
          <w:b/>
          <w:color w:val="0049A2"/>
          <w:szCs w:val="18"/>
          <w:lang w:eastAsia="en-US"/>
        </w:rPr>
        <w:t>Arbeitsorientierte Bildung in Zeiten multipler Krisen</w:t>
      </w:r>
    </w:p>
    <w:p w14:paraId="7C929CF2" w14:textId="77777777" w:rsidR="00B94EB4" w:rsidRPr="00987AC5" w:rsidRDefault="00B94EB4" w:rsidP="009A3012">
      <w:pPr>
        <w:pStyle w:val="StandardWeb"/>
        <w:shd w:val="clear" w:color="auto" w:fill="FFFFFF"/>
        <w:spacing w:before="0" w:beforeAutospacing="0" w:after="0" w:afterAutospacing="0" w:line="276" w:lineRule="auto"/>
        <w:rPr>
          <w:rFonts w:ascii="Arial" w:eastAsiaTheme="minorHAnsi" w:hAnsi="Arial" w:cs="Arial"/>
          <w:b/>
          <w:color w:val="0049A2"/>
          <w:szCs w:val="18"/>
          <w:lang w:eastAsia="en-US"/>
        </w:rPr>
      </w:pPr>
    </w:p>
    <w:p w14:paraId="4A5065F7" w14:textId="7677FDFF" w:rsidR="00640976" w:rsidRPr="002604A1" w:rsidRDefault="00855915" w:rsidP="002604A1">
      <w:pPr>
        <w:spacing w:after="0" w:line="240" w:lineRule="auto"/>
        <w:rPr>
          <w:rFonts w:ascii="Arial" w:eastAsia="Arial" w:hAnsi="Arial" w:cs="Arial"/>
        </w:rPr>
      </w:pPr>
      <w:r w:rsidRPr="002604A1">
        <w:rPr>
          <w:rFonts w:ascii="Arial" w:eastAsia="Arial" w:hAnsi="Arial" w:cs="Arial"/>
          <w:noProof/>
        </w:rPr>
        <w:drawing>
          <wp:anchor distT="0" distB="0" distL="114300" distR="114300" simplePos="0" relativeHeight="251659264" behindDoc="1" locked="0" layoutInCell="1" allowOverlap="1" wp14:anchorId="389A5C63" wp14:editId="0372C04D">
            <wp:simplePos x="0" y="0"/>
            <wp:positionH relativeFrom="column">
              <wp:posOffset>0</wp:posOffset>
            </wp:positionH>
            <wp:positionV relativeFrom="paragraph">
              <wp:posOffset>0</wp:posOffset>
            </wp:positionV>
            <wp:extent cx="2397211" cy="3384421"/>
            <wp:effectExtent l="0" t="0" r="3175" b="0"/>
            <wp:wrapTight wrapText="bothSides">
              <wp:wrapPolygon edited="0">
                <wp:start x="0" y="0"/>
                <wp:lineTo x="0" y="21482"/>
                <wp:lineTo x="21514" y="21482"/>
                <wp:lineTo x="21514" y="0"/>
                <wp:lineTo x="0" y="0"/>
              </wp:wrapPolygon>
            </wp:wrapTight>
            <wp:docPr id="15773911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91107" name="Grafik 15773911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7211" cy="3384421"/>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rPr>
        <w:t>Welche</w:t>
      </w:r>
      <w:r w:rsidRPr="00855915">
        <w:rPr>
          <w:rFonts w:ascii="Arial" w:eastAsia="Arial" w:hAnsi="Arial" w:cs="Arial"/>
        </w:rPr>
        <w:t xml:space="preserve"> R</w:t>
      </w:r>
      <w:r w:rsidRPr="002604A1">
        <w:rPr>
          <w:rFonts w:ascii="Arial" w:eastAsia="Arial" w:hAnsi="Arial" w:cs="Arial"/>
        </w:rPr>
        <w:t xml:space="preserve">olle kann arbeitsorientierte Bildung in Zeiten multipler gesellschaftlicher Krisen übernehmen? Der </w:t>
      </w:r>
      <w:r w:rsidR="00EC678A">
        <w:rPr>
          <w:rFonts w:ascii="Arial" w:eastAsia="Arial" w:hAnsi="Arial" w:cs="Arial"/>
        </w:rPr>
        <w:t xml:space="preserve">frei zugängliche </w:t>
      </w:r>
      <w:r w:rsidRPr="002604A1">
        <w:rPr>
          <w:rFonts w:ascii="Arial" w:eastAsia="Arial" w:hAnsi="Arial" w:cs="Arial"/>
        </w:rPr>
        <w:t>Sammelband zeigt, wie Arbeitslehre zur individuellen und gesellschaftlichen Resilienz beitragen kann. Aktuelle Herausforderungen wie Klimawandel, Fachkräftemangel, soziale Ungleichheit, Digitalisierung und demokratische Teilhabe stehen dabei im Mittelpunkt. Die Publikation richtet sich an Lehrkräfte &amp; Akteure in der arbeitsorientierten Bildung, Berufsorientierung</w:t>
      </w:r>
      <w:r w:rsidR="00640976" w:rsidRPr="002604A1">
        <w:rPr>
          <w:rFonts w:ascii="Arial" w:eastAsia="Arial" w:hAnsi="Arial" w:cs="Arial"/>
        </w:rPr>
        <w:t xml:space="preserve">, </w:t>
      </w:r>
      <w:r w:rsidRPr="002604A1">
        <w:rPr>
          <w:rFonts w:ascii="Arial" w:eastAsia="Arial" w:hAnsi="Arial" w:cs="Arial"/>
        </w:rPr>
        <w:t>Lehrer*</w:t>
      </w:r>
      <w:proofErr w:type="spellStart"/>
      <w:r w:rsidRPr="002604A1">
        <w:rPr>
          <w:rFonts w:ascii="Arial" w:eastAsia="Arial" w:hAnsi="Arial" w:cs="Arial"/>
        </w:rPr>
        <w:t>innenbildung</w:t>
      </w:r>
      <w:proofErr w:type="spellEnd"/>
      <w:r w:rsidRPr="002604A1">
        <w:rPr>
          <w:rFonts w:ascii="Arial" w:eastAsia="Arial" w:hAnsi="Arial" w:cs="Arial"/>
        </w:rPr>
        <w:t xml:space="preserve"> sowie Wissenschaftler*innen. </w:t>
      </w:r>
    </w:p>
    <w:p w14:paraId="389A73B8" w14:textId="77777777" w:rsidR="002604A1" w:rsidRDefault="002604A1" w:rsidP="002604A1">
      <w:pPr>
        <w:spacing w:after="0" w:line="240" w:lineRule="auto"/>
        <w:rPr>
          <w:rFonts w:ascii="Arial" w:eastAsia="Arial" w:hAnsi="Arial" w:cs="Arial"/>
        </w:rPr>
      </w:pPr>
    </w:p>
    <w:p w14:paraId="56E51A79" w14:textId="0B46DD0A" w:rsidR="00AB62CA" w:rsidRPr="002604A1" w:rsidRDefault="00AB62CA" w:rsidP="002604A1">
      <w:pPr>
        <w:spacing w:after="0" w:line="240" w:lineRule="auto"/>
        <w:rPr>
          <w:rFonts w:ascii="Arial" w:eastAsia="Arial" w:hAnsi="Arial" w:cs="Arial"/>
        </w:rPr>
      </w:pPr>
      <w:r w:rsidRPr="002604A1">
        <w:rPr>
          <w:rFonts w:ascii="Arial" w:eastAsia="Arial" w:hAnsi="Arial" w:cs="Arial"/>
        </w:rPr>
        <w:t>Herausgegeben wurde der Sammelband von Marianne Friese, Professorin für Berufs- und Wirtschaftspädagogik, Ulf Schrader, Professor für Arbeitslehre und nachhaltigen Konsum und Ralf Kiran Schulz, Professor für Arbeitslehre.</w:t>
      </w:r>
    </w:p>
    <w:p w14:paraId="2E356B66" w14:textId="77777777" w:rsidR="00AB62CA" w:rsidRPr="002604A1" w:rsidRDefault="00AB62CA" w:rsidP="00AB62CA">
      <w:pPr>
        <w:spacing w:after="0" w:line="240" w:lineRule="auto"/>
        <w:rPr>
          <w:rFonts w:ascii="Arial" w:eastAsia="Times New Roman" w:hAnsi="Arial" w:cs="Arial"/>
          <w:lang w:eastAsia="de-DE"/>
        </w:rPr>
      </w:pPr>
    </w:p>
    <w:p w14:paraId="46648CE7" w14:textId="77777777" w:rsidR="002579A1" w:rsidRDefault="002579A1" w:rsidP="00AB62CA">
      <w:pPr>
        <w:spacing w:after="0" w:line="240" w:lineRule="auto"/>
        <w:rPr>
          <w:rFonts w:ascii="Arial" w:eastAsia="Arial" w:hAnsi="Arial" w:cs="Arial"/>
        </w:rPr>
      </w:pPr>
    </w:p>
    <w:p w14:paraId="79D63CDD" w14:textId="77777777" w:rsidR="002579A1" w:rsidRDefault="002579A1" w:rsidP="00AB62CA">
      <w:pPr>
        <w:spacing w:after="0" w:line="240" w:lineRule="auto"/>
        <w:rPr>
          <w:rFonts w:ascii="Arial" w:eastAsia="Arial" w:hAnsi="Arial" w:cs="Arial"/>
        </w:rPr>
      </w:pPr>
    </w:p>
    <w:p w14:paraId="6923829C" w14:textId="77777777" w:rsidR="002579A1" w:rsidRDefault="002579A1" w:rsidP="00AB62CA">
      <w:pPr>
        <w:spacing w:after="0" w:line="240" w:lineRule="auto"/>
        <w:rPr>
          <w:rFonts w:ascii="Arial" w:eastAsia="Arial" w:hAnsi="Arial" w:cs="Arial"/>
        </w:rPr>
      </w:pPr>
    </w:p>
    <w:p w14:paraId="2038B838" w14:textId="2AE9DF2D" w:rsidR="00AB62CA" w:rsidRPr="002604A1" w:rsidRDefault="00AB62CA" w:rsidP="00AB62CA">
      <w:pPr>
        <w:spacing w:after="0" w:line="240" w:lineRule="auto"/>
        <w:rPr>
          <w:rFonts w:ascii="Arial" w:eastAsia="Arial" w:hAnsi="Arial" w:cs="Arial"/>
        </w:rPr>
      </w:pPr>
      <w:r w:rsidRPr="002604A1">
        <w:rPr>
          <w:rFonts w:ascii="Arial" w:eastAsia="Arial" w:hAnsi="Arial" w:cs="Arial"/>
        </w:rPr>
        <w:t>Krisen wie die Energiekrise, die Flüchtlingskrise oder die Wirtschaftskrise verschärfen, so die Herausgebenden, "Krisen, die schon deutlich vor dem Ukrainekrieg begonnen haben: die 'Integrationskrise', die 'Wohnungskrise', die 'Klimakrise', die allgemeine 'Krise der sozialen Gerechtigkeit' und nicht zuletzt die für das tägliche Arbeiten von Lehrkräften besonders relevante 'Bildungskrise'" (S. 9). Vor dem Hintergrund dieser multiplen Krisen hat sich die Gesellschaft für Arbeit, Technik und Wirtschaft im Unterricht (GATWU) auf ihrer Jahrestagung 2024 auf die Suche nach zeitgemäßen Antworten durch die arbeitsorientierte Bildung begeben.</w:t>
      </w:r>
    </w:p>
    <w:p w14:paraId="0A4B16B3" w14:textId="77777777" w:rsidR="00AB62CA" w:rsidRPr="002604A1" w:rsidRDefault="00AB62CA" w:rsidP="00AB62CA">
      <w:pPr>
        <w:spacing w:after="0" w:line="240" w:lineRule="auto"/>
        <w:rPr>
          <w:rFonts w:ascii="Arial" w:eastAsia="Arial" w:hAnsi="Arial" w:cs="Arial"/>
        </w:rPr>
      </w:pPr>
    </w:p>
    <w:p w14:paraId="45374EC4" w14:textId="6CADAA99" w:rsidR="004F16D2" w:rsidRPr="002604A1" w:rsidRDefault="00AB62CA" w:rsidP="00024E18">
      <w:pPr>
        <w:spacing w:after="0" w:line="240" w:lineRule="auto"/>
        <w:rPr>
          <w:rFonts w:ascii="Arial" w:eastAsia="Arial" w:hAnsi="Arial" w:cs="Arial"/>
        </w:rPr>
      </w:pPr>
      <w:r w:rsidRPr="002604A1">
        <w:rPr>
          <w:rFonts w:ascii="Arial" w:eastAsia="Arial" w:hAnsi="Arial" w:cs="Arial"/>
        </w:rPr>
        <w:t>Die Beiträge des Sammelbands sind in fünf Themenbereiche gegliedert: „Grundlegung“, „Resilienz, Demokratie, Gender“, „Resilienz, Bildung, Nachhaltigkeit“, „Resilienz, Beruf, Unternehmen“ und „Resilienz, Technik, Digitalisierung“. Diskutiert werden unter anderem Berufsorientierung, Care Work, KI, Suffizienz, Demokratiebildung und technische Bildung</w:t>
      </w:r>
      <w:r w:rsidR="00024E18" w:rsidRPr="002604A1">
        <w:rPr>
          <w:rFonts w:ascii="Arial" w:eastAsia="Arial" w:hAnsi="Arial" w:cs="Arial"/>
        </w:rPr>
        <w:t>. Nachfolgend sollen die einzelnen Beiträge in Kürze vorgestellt werden.</w:t>
      </w:r>
      <w:r w:rsidR="003F6722">
        <w:rPr>
          <w:rFonts w:ascii="Arial" w:eastAsia="Arial" w:hAnsi="Arial" w:cs="Arial"/>
        </w:rPr>
        <w:t xml:space="preserve"> Beim Lesen fällt auf, dass die Themenbereiche nicht nochmals entsprechend im Band gekennzeichnet sind, was die Zuordnung vereinfachen würde.</w:t>
      </w:r>
    </w:p>
    <w:p w14:paraId="46442702" w14:textId="77777777" w:rsidR="00AB62CA" w:rsidRDefault="00AB62CA" w:rsidP="00AB62CA">
      <w:pPr>
        <w:spacing w:after="0" w:line="240" w:lineRule="auto"/>
        <w:rPr>
          <w:rFonts w:ascii="Arial" w:eastAsia="Times New Roman" w:hAnsi="Arial" w:cs="Arial"/>
          <w:color w:val="000000"/>
          <w:lang w:eastAsia="de-DE"/>
        </w:rPr>
      </w:pPr>
    </w:p>
    <w:p w14:paraId="10788D57" w14:textId="0C9E485A" w:rsidR="003F6722" w:rsidRPr="002604A1" w:rsidRDefault="003F6722" w:rsidP="003F6722">
      <w:pPr>
        <w:pStyle w:val="berschrift2"/>
        <w:rPr>
          <w:rFonts w:eastAsia="Times New Roman"/>
          <w:lang w:eastAsia="de-DE"/>
        </w:rPr>
      </w:pPr>
      <w:r>
        <w:rPr>
          <w:rFonts w:eastAsia="Times New Roman"/>
          <w:lang w:eastAsia="de-DE"/>
        </w:rPr>
        <w:t>Grundlegungen</w:t>
      </w:r>
    </w:p>
    <w:p w14:paraId="3F9948B9" w14:textId="7EC60DA5" w:rsidR="00AB62CA" w:rsidRPr="002604A1" w:rsidRDefault="00AB62CA" w:rsidP="00AB62CA">
      <w:pPr>
        <w:spacing w:after="0" w:line="240" w:lineRule="auto"/>
        <w:rPr>
          <w:rFonts w:ascii="Arial" w:eastAsia="Times New Roman" w:hAnsi="Arial" w:cs="Arial"/>
          <w:color w:val="000000"/>
          <w:lang w:eastAsia="de-DE"/>
        </w:rPr>
      </w:pPr>
      <w:r w:rsidRPr="002604A1">
        <w:rPr>
          <w:rFonts w:ascii="Arial" w:eastAsia="Times New Roman" w:hAnsi="Arial" w:cs="Arial"/>
          <w:color w:val="000000"/>
          <w:lang w:eastAsia="de-DE"/>
        </w:rPr>
        <w:t>Im ersten grundlegenden Beitrag beschäftigt sich die Risikoforscherin Pia-Johanna Schweizer mit „</w:t>
      </w:r>
      <w:r w:rsidRPr="002604A1">
        <w:rPr>
          <w:rFonts w:ascii="Arial" w:eastAsia="Times New Roman" w:hAnsi="Arial" w:cs="Arial"/>
          <w:b/>
          <w:bCs/>
          <w:color w:val="000000"/>
          <w:lang w:eastAsia="de-DE"/>
        </w:rPr>
        <w:t xml:space="preserve">Arbeitslehre und gesellschaftliche[r] Resilienz in Zeiten von </w:t>
      </w:r>
      <w:r w:rsidRPr="002604A1">
        <w:rPr>
          <w:rFonts w:ascii="Arial" w:eastAsia="Times New Roman" w:hAnsi="Arial" w:cs="Arial"/>
          <w:b/>
          <w:bCs/>
          <w:color w:val="000000"/>
          <w:lang w:eastAsia="de-DE"/>
        </w:rPr>
        <w:lastRenderedPageBreak/>
        <w:t>Polykrisen“</w:t>
      </w:r>
      <w:r w:rsidRPr="002604A1">
        <w:rPr>
          <w:rFonts w:ascii="Arial" w:eastAsia="Times New Roman" w:hAnsi="Arial" w:cs="Arial"/>
          <w:color w:val="000000"/>
          <w:lang w:eastAsia="de-DE"/>
        </w:rPr>
        <w:t xml:space="preserve">. Aus ihrer Perspektive präzisiert sie die wahrgenommenen multiplen Krisen mit dem Begriff der Polykrisen. Demnach sind die Krisen nicht nur zahlreich, sondern miteinander verflochten und stehen im Zusammenhang mit den tiefgreifenden Transformationsprozessen, die alle modernen Gesellschaften des 21. Jahrhunderts durchlaufen. Ihnen zu begegnen, erfordert nach Schweizer </w:t>
      </w:r>
      <w:r w:rsidR="004F16D2" w:rsidRPr="002604A1">
        <w:rPr>
          <w:rFonts w:ascii="Arial" w:eastAsia="Times New Roman" w:hAnsi="Arial" w:cs="Arial"/>
          <w:color w:val="000000"/>
          <w:lang w:eastAsia="de-DE"/>
        </w:rPr>
        <w:t>„</w:t>
      </w:r>
      <w:r w:rsidRPr="002604A1">
        <w:rPr>
          <w:rFonts w:ascii="Arial" w:eastAsia="Times New Roman" w:hAnsi="Arial" w:cs="Arial"/>
          <w:color w:val="000000"/>
          <w:lang w:eastAsia="de-DE"/>
        </w:rPr>
        <w:t>Bildungsprozesse, die Individuen zur kritischen Reflexion und aktiven Mitgestaltung befähigen"</w:t>
      </w:r>
      <w:r w:rsidR="004F16D2" w:rsidRPr="002604A1">
        <w:rPr>
          <w:rFonts w:ascii="Arial" w:eastAsia="Times New Roman" w:hAnsi="Arial" w:cs="Arial"/>
          <w:color w:val="000000"/>
          <w:lang w:eastAsia="de-DE"/>
        </w:rPr>
        <w:t xml:space="preserve"> (15)</w:t>
      </w:r>
      <w:r w:rsidRPr="002604A1">
        <w:rPr>
          <w:rFonts w:ascii="Arial" w:eastAsia="Times New Roman" w:hAnsi="Arial" w:cs="Arial"/>
          <w:color w:val="000000"/>
          <w:lang w:eastAsia="de-DE"/>
        </w:rPr>
        <w:t>.</w:t>
      </w:r>
    </w:p>
    <w:p w14:paraId="7687C89B" w14:textId="77777777" w:rsidR="00AB62CA" w:rsidRPr="002604A1" w:rsidRDefault="00AB62CA" w:rsidP="00AB62CA">
      <w:pPr>
        <w:spacing w:after="0" w:line="240" w:lineRule="auto"/>
        <w:rPr>
          <w:rFonts w:ascii="Arial" w:eastAsia="Times New Roman" w:hAnsi="Arial" w:cs="Arial"/>
          <w:color w:val="000000"/>
          <w:lang w:eastAsia="de-DE"/>
        </w:rPr>
      </w:pPr>
    </w:p>
    <w:p w14:paraId="5227D59F" w14:textId="0F245C92" w:rsidR="00AB62CA" w:rsidRPr="002604A1" w:rsidRDefault="00AB62CA" w:rsidP="00AB62CA">
      <w:pPr>
        <w:spacing w:after="0" w:line="240" w:lineRule="auto"/>
        <w:rPr>
          <w:rFonts w:ascii="Arial" w:eastAsia="Times New Roman" w:hAnsi="Arial" w:cs="Arial"/>
          <w:color w:val="000000"/>
          <w:lang w:eastAsia="de-DE"/>
        </w:rPr>
      </w:pPr>
      <w:r w:rsidRPr="002604A1">
        <w:rPr>
          <w:rFonts w:ascii="Arial" w:eastAsia="Times New Roman" w:hAnsi="Arial" w:cs="Arial"/>
          <w:color w:val="000000"/>
          <w:lang w:eastAsia="de-DE"/>
        </w:rPr>
        <w:t>Die Berufs</w:t>
      </w:r>
      <w:r w:rsidR="003A6AC8" w:rsidRPr="002604A1">
        <w:rPr>
          <w:rFonts w:ascii="Arial" w:eastAsia="Times New Roman" w:hAnsi="Arial" w:cs="Arial"/>
          <w:color w:val="000000"/>
          <w:lang w:eastAsia="de-DE"/>
        </w:rPr>
        <w:t>pädagogin und -</w:t>
      </w:r>
      <w:proofErr w:type="spellStart"/>
      <w:r w:rsidRPr="002604A1">
        <w:rPr>
          <w:rFonts w:ascii="Arial" w:eastAsia="Times New Roman" w:hAnsi="Arial" w:cs="Arial"/>
          <w:color w:val="000000"/>
          <w:lang w:eastAsia="de-DE"/>
        </w:rPr>
        <w:t>bildungsforscherin</w:t>
      </w:r>
      <w:proofErr w:type="spellEnd"/>
      <w:r w:rsidRPr="002604A1">
        <w:rPr>
          <w:rFonts w:ascii="Arial" w:eastAsia="Times New Roman" w:hAnsi="Arial" w:cs="Arial"/>
          <w:color w:val="000000"/>
          <w:lang w:eastAsia="de-DE"/>
        </w:rPr>
        <w:t xml:space="preserve"> Birgit Ziegler widmet sich den </w:t>
      </w:r>
      <w:r w:rsidRPr="002604A1">
        <w:rPr>
          <w:rFonts w:ascii="Arial" w:eastAsia="Times New Roman" w:hAnsi="Arial" w:cs="Arial"/>
          <w:b/>
          <w:bCs/>
          <w:color w:val="000000"/>
          <w:lang w:eastAsia="de-DE"/>
        </w:rPr>
        <w:t>„Herausforderungen für die Professionalisierung des Lehramts in der Transformation“</w:t>
      </w:r>
      <w:r w:rsidRPr="002604A1">
        <w:rPr>
          <w:rFonts w:ascii="Arial" w:eastAsia="Times New Roman" w:hAnsi="Arial" w:cs="Arial"/>
          <w:color w:val="000000"/>
          <w:lang w:eastAsia="de-DE"/>
        </w:rPr>
        <w:t xml:space="preserve">. Durch die Verbindung von professionalisierungs- und berufswahltheoretischer Perspektive </w:t>
      </w:r>
      <w:r w:rsidR="00882CDD" w:rsidRPr="002604A1">
        <w:rPr>
          <w:rFonts w:ascii="Arial" w:eastAsia="Times New Roman" w:hAnsi="Arial" w:cs="Arial"/>
          <w:color w:val="000000"/>
          <w:lang w:eastAsia="de-DE"/>
        </w:rPr>
        <w:t>beleuchtet sie</w:t>
      </w:r>
      <w:r w:rsidRPr="002604A1">
        <w:rPr>
          <w:rFonts w:ascii="Arial" w:eastAsia="Times New Roman" w:hAnsi="Arial" w:cs="Arial"/>
          <w:color w:val="000000"/>
          <w:lang w:eastAsia="de-DE"/>
        </w:rPr>
        <w:t xml:space="preserve"> die Herausforderungen bei der Gewinnung und Entwicklung von Lehrkräften. Sie zeigt, wie sich die</w:t>
      </w:r>
      <w:r w:rsidR="003F6049" w:rsidRPr="002604A1">
        <w:rPr>
          <w:rFonts w:ascii="Arial" w:eastAsia="Times New Roman" w:hAnsi="Arial" w:cs="Arial"/>
          <w:color w:val="000000"/>
          <w:lang w:eastAsia="de-DE"/>
        </w:rPr>
        <w:t xml:space="preserve">se Herausforderungen </w:t>
      </w:r>
      <w:r w:rsidRPr="002604A1">
        <w:rPr>
          <w:rFonts w:ascii="Arial" w:eastAsia="Times New Roman" w:hAnsi="Arial" w:cs="Arial"/>
          <w:color w:val="000000"/>
          <w:lang w:eastAsia="de-DE"/>
        </w:rPr>
        <w:t xml:space="preserve">durch die gesellschaftliche Transformation verschärfen und wie </w:t>
      </w:r>
      <w:r w:rsidR="00DD38BA" w:rsidRPr="002604A1">
        <w:rPr>
          <w:rFonts w:ascii="Arial" w:eastAsia="Times New Roman" w:hAnsi="Arial" w:cs="Arial"/>
          <w:color w:val="000000"/>
          <w:lang w:eastAsia="de-DE"/>
        </w:rPr>
        <w:t>diesen</w:t>
      </w:r>
      <w:r w:rsidRPr="002604A1">
        <w:rPr>
          <w:rFonts w:ascii="Arial" w:eastAsia="Times New Roman" w:hAnsi="Arial" w:cs="Arial"/>
          <w:color w:val="000000"/>
          <w:lang w:eastAsia="de-DE"/>
        </w:rPr>
        <w:t xml:space="preserve"> im Hinblick auf die Arbeitslehre begegnet werden kann.</w:t>
      </w:r>
    </w:p>
    <w:p w14:paraId="5D3B2394" w14:textId="77777777" w:rsidR="00AB62CA" w:rsidRPr="002604A1" w:rsidRDefault="00AB62CA" w:rsidP="00AB62CA">
      <w:pPr>
        <w:spacing w:after="0" w:line="240" w:lineRule="auto"/>
        <w:rPr>
          <w:rFonts w:ascii="Arial" w:eastAsia="Times New Roman" w:hAnsi="Arial" w:cs="Arial"/>
          <w:color w:val="000000"/>
          <w:lang w:eastAsia="de-DE"/>
        </w:rPr>
      </w:pPr>
    </w:p>
    <w:p w14:paraId="40D0D768" w14:textId="5C480E0D" w:rsidR="00AB62CA" w:rsidRPr="002604A1" w:rsidRDefault="00AB62CA" w:rsidP="00AB62CA">
      <w:pPr>
        <w:spacing w:after="0" w:line="240" w:lineRule="auto"/>
        <w:rPr>
          <w:rFonts w:ascii="Arial" w:eastAsia="Times New Roman" w:hAnsi="Arial" w:cs="Arial"/>
          <w:color w:val="000000"/>
          <w:lang w:eastAsia="de-DE"/>
        </w:rPr>
      </w:pPr>
      <w:r w:rsidRPr="002604A1">
        <w:rPr>
          <w:rFonts w:ascii="Arial" w:eastAsia="Times New Roman" w:hAnsi="Arial" w:cs="Arial"/>
          <w:color w:val="000000"/>
          <w:lang w:eastAsia="de-DE"/>
        </w:rPr>
        <w:t>Marianne Friese</w:t>
      </w:r>
      <w:r w:rsidR="007A56C7" w:rsidRPr="002604A1">
        <w:rPr>
          <w:rFonts w:ascii="Arial" w:eastAsia="Times New Roman" w:hAnsi="Arial" w:cs="Arial"/>
          <w:color w:val="000000"/>
          <w:lang w:eastAsia="de-DE"/>
        </w:rPr>
        <w:t>, Professorin für Erziehungswissenschaft</w:t>
      </w:r>
      <w:r w:rsidR="00C50B4D" w:rsidRPr="002604A1">
        <w:rPr>
          <w:rFonts w:ascii="Arial" w:eastAsia="Times New Roman" w:hAnsi="Arial" w:cs="Arial"/>
          <w:color w:val="000000"/>
          <w:lang w:eastAsia="de-DE"/>
        </w:rPr>
        <w:t>,</w:t>
      </w:r>
      <w:r w:rsidRPr="002604A1">
        <w:rPr>
          <w:rFonts w:ascii="Arial" w:eastAsia="Times New Roman" w:hAnsi="Arial" w:cs="Arial"/>
          <w:color w:val="000000"/>
          <w:lang w:eastAsia="de-DE"/>
        </w:rPr>
        <w:t xml:space="preserve"> </w:t>
      </w:r>
      <w:r w:rsidR="00C75254" w:rsidRPr="002604A1">
        <w:rPr>
          <w:rFonts w:ascii="Arial" w:eastAsia="Times New Roman" w:hAnsi="Arial" w:cs="Arial"/>
          <w:color w:val="000000"/>
          <w:lang w:eastAsia="de-DE"/>
        </w:rPr>
        <w:t>verdeutlicht in</w:t>
      </w:r>
      <w:r w:rsidRPr="002604A1">
        <w:rPr>
          <w:rFonts w:ascii="Arial" w:eastAsia="Times New Roman" w:hAnsi="Arial" w:cs="Arial"/>
          <w:color w:val="000000"/>
          <w:lang w:eastAsia="de-DE"/>
        </w:rPr>
        <w:t xml:space="preserve"> ihrem Beitrag zu </w:t>
      </w:r>
      <w:r w:rsidRPr="002604A1">
        <w:rPr>
          <w:rFonts w:ascii="Arial" w:eastAsia="Times New Roman" w:hAnsi="Arial" w:cs="Arial"/>
          <w:b/>
          <w:bCs/>
          <w:color w:val="000000"/>
          <w:lang w:eastAsia="de-DE"/>
        </w:rPr>
        <w:t>„Care Work und Resilienz im Fächerkanon der Arbeitslehre“</w:t>
      </w:r>
      <w:r w:rsidRPr="002604A1">
        <w:rPr>
          <w:rFonts w:ascii="Arial" w:eastAsia="Times New Roman" w:hAnsi="Arial" w:cs="Arial"/>
          <w:color w:val="000000"/>
          <w:lang w:eastAsia="de-DE"/>
        </w:rPr>
        <w:t xml:space="preserve"> die Relevanz von Care Work als Gegenstand der arbeitsorientierten Bildung durch Verweis auf historische Ansätze</w:t>
      </w:r>
      <w:r w:rsidR="005B1185" w:rsidRPr="002604A1">
        <w:rPr>
          <w:rFonts w:ascii="Arial" w:eastAsia="Times New Roman" w:hAnsi="Arial" w:cs="Arial"/>
          <w:color w:val="000000"/>
          <w:lang w:eastAsia="de-DE"/>
        </w:rPr>
        <w:t>. Sie beschreibt</w:t>
      </w:r>
      <w:r w:rsidRPr="002604A1">
        <w:rPr>
          <w:rFonts w:ascii="Arial" w:eastAsia="Times New Roman" w:hAnsi="Arial" w:cs="Arial"/>
          <w:color w:val="000000"/>
          <w:lang w:eastAsia="de-DE"/>
        </w:rPr>
        <w:t xml:space="preserve"> den Beitrag </w:t>
      </w:r>
      <w:r w:rsidR="00107570" w:rsidRPr="002604A1">
        <w:rPr>
          <w:rFonts w:ascii="Arial" w:eastAsia="Times New Roman" w:hAnsi="Arial" w:cs="Arial"/>
          <w:color w:val="000000"/>
          <w:lang w:eastAsia="de-DE"/>
        </w:rPr>
        <w:t xml:space="preserve">von Care Work </w:t>
      </w:r>
      <w:r w:rsidRPr="002604A1">
        <w:rPr>
          <w:rFonts w:ascii="Arial" w:eastAsia="Times New Roman" w:hAnsi="Arial" w:cs="Arial"/>
          <w:color w:val="000000"/>
          <w:lang w:eastAsia="de-DE"/>
        </w:rPr>
        <w:t>für individuelles Wohlergehen und gesellschaftliche Wohlfahrt</w:t>
      </w:r>
      <w:r w:rsidR="00107570" w:rsidRPr="002604A1">
        <w:rPr>
          <w:rFonts w:ascii="Arial" w:eastAsia="Times New Roman" w:hAnsi="Arial" w:cs="Arial"/>
          <w:color w:val="000000"/>
          <w:lang w:eastAsia="de-DE"/>
        </w:rPr>
        <w:t xml:space="preserve"> und zeigt, </w:t>
      </w:r>
      <w:r w:rsidRPr="002604A1">
        <w:rPr>
          <w:rFonts w:ascii="Arial" w:eastAsia="Times New Roman" w:hAnsi="Arial" w:cs="Arial"/>
          <w:color w:val="000000"/>
          <w:lang w:eastAsia="de-DE"/>
        </w:rPr>
        <w:t>dass Care Work ein zentrales Element für die Erreichung von mehr Resilienz und Nachhaltigkeit ist.</w:t>
      </w:r>
    </w:p>
    <w:p w14:paraId="26E4872D" w14:textId="77777777" w:rsidR="00AB62CA" w:rsidRDefault="00AB62CA" w:rsidP="00AB62CA">
      <w:pPr>
        <w:spacing w:after="0" w:line="240" w:lineRule="auto"/>
        <w:rPr>
          <w:rFonts w:ascii="Arial" w:eastAsia="Times New Roman" w:hAnsi="Arial" w:cs="Arial"/>
          <w:color w:val="000000"/>
          <w:lang w:eastAsia="de-DE"/>
        </w:rPr>
      </w:pPr>
    </w:p>
    <w:p w14:paraId="0723E865" w14:textId="07972178" w:rsidR="003F6722" w:rsidRPr="002604A1" w:rsidRDefault="003F6722" w:rsidP="003F6722">
      <w:pPr>
        <w:pStyle w:val="berschrift2"/>
        <w:rPr>
          <w:rFonts w:eastAsia="Times New Roman"/>
          <w:color w:val="000000"/>
          <w:lang w:eastAsia="de-DE"/>
        </w:rPr>
      </w:pPr>
      <w:r w:rsidRPr="002604A1">
        <w:rPr>
          <w:rFonts w:eastAsia="Arial"/>
        </w:rPr>
        <w:t>Resilienz, Demokratie, Gender</w:t>
      </w:r>
    </w:p>
    <w:p w14:paraId="14BAB716" w14:textId="5C7F4BB0" w:rsidR="006742E9" w:rsidRPr="002604A1" w:rsidRDefault="00AB62CA" w:rsidP="00C430B2">
      <w:pPr>
        <w:pStyle w:val="p1"/>
        <w:rPr>
          <w:rFonts w:ascii="Arial" w:hAnsi="Arial" w:cs="Arial"/>
          <w:sz w:val="22"/>
          <w:szCs w:val="22"/>
        </w:rPr>
      </w:pPr>
      <w:r w:rsidRPr="002604A1">
        <w:rPr>
          <w:rFonts w:ascii="Arial" w:hAnsi="Arial" w:cs="Arial"/>
          <w:sz w:val="22"/>
          <w:szCs w:val="22"/>
        </w:rPr>
        <w:t>Hans-Liudger Dienel</w:t>
      </w:r>
      <w:r w:rsidR="00225F74" w:rsidRPr="002604A1">
        <w:rPr>
          <w:rFonts w:ascii="Arial" w:hAnsi="Arial" w:cs="Arial"/>
          <w:sz w:val="22"/>
          <w:szCs w:val="22"/>
        </w:rPr>
        <w:t>, Professor für Arbeitslehre, Technik und Partizipation,</w:t>
      </w:r>
      <w:r w:rsidRPr="002604A1">
        <w:rPr>
          <w:rFonts w:ascii="Arial" w:hAnsi="Arial" w:cs="Arial"/>
          <w:sz w:val="22"/>
          <w:szCs w:val="22"/>
        </w:rPr>
        <w:t xml:space="preserve"> zeigt, wie </w:t>
      </w:r>
      <w:r w:rsidRPr="002604A1">
        <w:rPr>
          <w:rFonts w:ascii="Arial" w:hAnsi="Arial" w:cs="Arial"/>
          <w:b/>
          <w:bCs/>
          <w:sz w:val="22"/>
          <w:szCs w:val="22"/>
        </w:rPr>
        <w:t>„Werkstattunterricht als Schule der Demokratie und der Resilienz“</w:t>
      </w:r>
      <w:r w:rsidRPr="002604A1">
        <w:rPr>
          <w:rFonts w:ascii="Arial" w:hAnsi="Arial" w:cs="Arial"/>
          <w:sz w:val="22"/>
          <w:szCs w:val="22"/>
        </w:rPr>
        <w:t xml:space="preserve"> wirken kann. Er analysiert die aktuelle Bedeutung der Ansätze von John Dewey und Georg Kerschensteiner. </w:t>
      </w:r>
      <w:r w:rsidR="00782E5B" w:rsidRPr="002604A1">
        <w:rPr>
          <w:rFonts w:ascii="Arial" w:hAnsi="Arial" w:cs="Arial"/>
          <w:sz w:val="22"/>
          <w:szCs w:val="22"/>
        </w:rPr>
        <w:t>Beiden „ging</w:t>
      </w:r>
      <w:r w:rsidR="00A6052F" w:rsidRPr="002604A1">
        <w:rPr>
          <w:rFonts w:ascii="Arial" w:hAnsi="Arial" w:cs="Arial"/>
          <w:sz w:val="22"/>
          <w:szCs w:val="22"/>
        </w:rPr>
        <w:t xml:space="preserve"> </w:t>
      </w:r>
      <w:r w:rsidR="00782E5B" w:rsidRPr="002604A1">
        <w:rPr>
          <w:rFonts w:ascii="Arial" w:hAnsi="Arial" w:cs="Arial"/>
          <w:sz w:val="22"/>
          <w:szCs w:val="22"/>
        </w:rPr>
        <w:t>es um die Erziehung zur selbstbewussten, aktiven Teilnahme an Gemeinschaft und</w:t>
      </w:r>
      <w:r w:rsidR="00664EA8" w:rsidRPr="002604A1">
        <w:rPr>
          <w:rFonts w:ascii="Arial" w:hAnsi="Arial" w:cs="Arial"/>
          <w:sz w:val="22"/>
          <w:szCs w:val="22"/>
        </w:rPr>
        <w:t xml:space="preserve"> </w:t>
      </w:r>
      <w:r w:rsidR="00782E5B" w:rsidRPr="002604A1">
        <w:rPr>
          <w:rFonts w:ascii="Arial" w:hAnsi="Arial" w:cs="Arial"/>
          <w:sz w:val="22"/>
          <w:szCs w:val="22"/>
        </w:rPr>
        <w:t>Gesellschaft“ (76)</w:t>
      </w:r>
      <w:r w:rsidR="002357B9" w:rsidRPr="002604A1">
        <w:rPr>
          <w:rFonts w:ascii="Arial" w:hAnsi="Arial" w:cs="Arial"/>
          <w:sz w:val="22"/>
          <w:szCs w:val="22"/>
        </w:rPr>
        <w:t>.</w:t>
      </w:r>
      <w:r w:rsidR="00782E5B" w:rsidRPr="002604A1">
        <w:rPr>
          <w:rFonts w:ascii="Arial" w:hAnsi="Arial" w:cs="Arial"/>
          <w:sz w:val="22"/>
          <w:szCs w:val="22"/>
        </w:rPr>
        <w:t xml:space="preserve"> </w:t>
      </w:r>
      <w:r w:rsidRPr="002604A1">
        <w:rPr>
          <w:rFonts w:ascii="Arial" w:hAnsi="Arial" w:cs="Arial"/>
          <w:sz w:val="22"/>
          <w:szCs w:val="22"/>
        </w:rPr>
        <w:t xml:space="preserve">Für Dienel </w:t>
      </w:r>
      <w:r w:rsidR="00557F5A" w:rsidRPr="002604A1">
        <w:rPr>
          <w:rFonts w:ascii="Arial" w:hAnsi="Arial" w:cs="Arial"/>
          <w:sz w:val="22"/>
          <w:szCs w:val="22"/>
        </w:rPr>
        <w:t>ist</w:t>
      </w:r>
      <w:r w:rsidRPr="002604A1">
        <w:rPr>
          <w:rFonts w:ascii="Arial" w:hAnsi="Arial" w:cs="Arial"/>
          <w:sz w:val="22"/>
          <w:szCs w:val="22"/>
        </w:rPr>
        <w:t xml:space="preserve"> im Hinblick auf Demokratiebildung und gesellschaftliche Resilienz bei Dewey vor allem die theoretische, philosophisch erziehungswissenschaftliche Fundierung relevant, während </w:t>
      </w:r>
      <w:r w:rsidR="00C55647" w:rsidRPr="002604A1">
        <w:rPr>
          <w:rFonts w:ascii="Arial" w:hAnsi="Arial" w:cs="Arial"/>
          <w:sz w:val="22"/>
          <w:szCs w:val="22"/>
        </w:rPr>
        <w:t xml:space="preserve">ihn </w:t>
      </w:r>
      <w:r w:rsidRPr="002604A1">
        <w:rPr>
          <w:rFonts w:ascii="Arial" w:hAnsi="Arial" w:cs="Arial"/>
          <w:sz w:val="22"/>
          <w:szCs w:val="22"/>
        </w:rPr>
        <w:t>bei Kerschensteiner die demokratische Praxis seiner Arbeitsschule überzeugt.</w:t>
      </w:r>
    </w:p>
    <w:p w14:paraId="5B1FD13B" w14:textId="77777777" w:rsidR="00C430B2" w:rsidRPr="002604A1" w:rsidRDefault="00C430B2" w:rsidP="00C430B2">
      <w:pPr>
        <w:pStyle w:val="p1"/>
        <w:rPr>
          <w:rFonts w:ascii="Arial" w:hAnsi="Arial" w:cs="Arial"/>
          <w:sz w:val="22"/>
          <w:szCs w:val="22"/>
        </w:rPr>
      </w:pPr>
    </w:p>
    <w:p w14:paraId="5A9283DF" w14:textId="4A32AC06" w:rsidR="00D24DB9" w:rsidRPr="002604A1" w:rsidRDefault="00702D9F" w:rsidP="0007220E">
      <w:pPr>
        <w:pStyle w:val="p1"/>
        <w:rPr>
          <w:rFonts w:ascii="Arial" w:hAnsi="Arial" w:cs="Arial"/>
          <w:sz w:val="22"/>
          <w:szCs w:val="22"/>
        </w:rPr>
      </w:pPr>
      <w:r w:rsidRPr="002604A1">
        <w:rPr>
          <w:rFonts w:ascii="Arial" w:hAnsi="Arial" w:cs="Arial"/>
          <w:sz w:val="22"/>
          <w:szCs w:val="22"/>
        </w:rPr>
        <w:t xml:space="preserve">Angesichts aktueller Krisen und wachsender antidemokratischer Tendenzen kommt der politischen Bildung eine wichtige Aufgabe zu: Sie soll demokratische Werte vermitteln und so zu einer demokratischeren Gesellschaft beitragen. Besonders der Übergangssektor spielt dabei eine zentrale Rolle, da er oft die letzte institutionelle Möglichkeit darstellt, bildungsbenachteiligte Gruppen zu erreichen. Der Beitrag </w:t>
      </w:r>
      <w:r w:rsidR="00A92FB3" w:rsidRPr="002604A1">
        <w:rPr>
          <w:rFonts w:ascii="Arial" w:hAnsi="Arial" w:cs="Arial"/>
          <w:b/>
          <w:bCs/>
          <w:sz w:val="22"/>
          <w:szCs w:val="22"/>
        </w:rPr>
        <w:t>„Demokratieförderung und politische Resilienz:</w:t>
      </w:r>
      <w:r w:rsidR="0007220E" w:rsidRPr="002604A1">
        <w:rPr>
          <w:rFonts w:ascii="Arial" w:hAnsi="Arial" w:cs="Arial"/>
          <w:b/>
          <w:bCs/>
          <w:sz w:val="22"/>
          <w:szCs w:val="22"/>
        </w:rPr>
        <w:t xml:space="preserve"> </w:t>
      </w:r>
      <w:r w:rsidR="00A92FB3" w:rsidRPr="002604A1">
        <w:rPr>
          <w:rFonts w:ascii="Arial" w:hAnsi="Arial" w:cs="Arial"/>
          <w:b/>
          <w:bCs/>
          <w:sz w:val="22"/>
          <w:szCs w:val="22"/>
        </w:rPr>
        <w:t>Zur Relevanz im beruflichen Übergangssektor</w:t>
      </w:r>
      <w:r w:rsidR="0007220E" w:rsidRPr="002604A1">
        <w:rPr>
          <w:rFonts w:ascii="Arial" w:hAnsi="Arial" w:cs="Arial"/>
          <w:b/>
          <w:bCs/>
          <w:sz w:val="22"/>
          <w:szCs w:val="22"/>
        </w:rPr>
        <w:t xml:space="preserve"> </w:t>
      </w:r>
      <w:r w:rsidR="00A92FB3" w:rsidRPr="002604A1">
        <w:rPr>
          <w:rFonts w:ascii="Arial" w:hAnsi="Arial" w:cs="Arial"/>
          <w:b/>
          <w:bCs/>
          <w:sz w:val="22"/>
          <w:szCs w:val="22"/>
        </w:rPr>
        <w:t xml:space="preserve">und </w:t>
      </w:r>
      <w:proofErr w:type="spellStart"/>
      <w:r w:rsidR="00A92FB3" w:rsidRPr="002604A1">
        <w:rPr>
          <w:rFonts w:ascii="Arial" w:hAnsi="Arial" w:cs="Arial"/>
          <w:b/>
          <w:bCs/>
          <w:sz w:val="22"/>
          <w:szCs w:val="22"/>
        </w:rPr>
        <w:t>Learnings</w:t>
      </w:r>
      <w:proofErr w:type="spellEnd"/>
      <w:r w:rsidR="00A92FB3" w:rsidRPr="002604A1">
        <w:rPr>
          <w:rFonts w:ascii="Arial" w:hAnsi="Arial" w:cs="Arial"/>
          <w:b/>
          <w:bCs/>
          <w:sz w:val="22"/>
          <w:szCs w:val="22"/>
        </w:rPr>
        <w:t xml:space="preserve"> für die Arbeitslehre“</w:t>
      </w:r>
      <w:r w:rsidR="00A92FB3" w:rsidRPr="002604A1">
        <w:rPr>
          <w:rFonts w:ascii="Arial" w:hAnsi="Arial" w:cs="Arial"/>
          <w:sz w:val="22"/>
          <w:szCs w:val="22"/>
        </w:rPr>
        <w:t xml:space="preserve"> von Eva Anslinger vom Zentrum für Arbeit und Politik der Universität Bremen</w:t>
      </w:r>
      <w:r w:rsidR="0007220E" w:rsidRPr="002604A1">
        <w:rPr>
          <w:rFonts w:ascii="Arial" w:hAnsi="Arial" w:cs="Arial"/>
          <w:sz w:val="22"/>
          <w:szCs w:val="22"/>
        </w:rPr>
        <w:t xml:space="preserve"> </w:t>
      </w:r>
      <w:r w:rsidRPr="002604A1">
        <w:rPr>
          <w:rFonts w:ascii="Arial" w:hAnsi="Arial" w:cs="Arial"/>
          <w:sz w:val="22"/>
          <w:szCs w:val="22"/>
        </w:rPr>
        <w:t>nimmt eine Bestandsaufnahme vor und untersucht, wie politische Resilienz bei bildungsungewohnten Lernenden gefördert werden kann. Daraus werden erste praxisrelevante Erkenntnisse für die Arbeitslehre abgeleitet.</w:t>
      </w:r>
    </w:p>
    <w:p w14:paraId="08A5949E" w14:textId="394A1652" w:rsidR="00D24DB9" w:rsidRPr="002604A1" w:rsidRDefault="00D24DB9" w:rsidP="00D24DB9">
      <w:pPr>
        <w:pStyle w:val="StandardWeb"/>
        <w:rPr>
          <w:rFonts w:ascii="Arial" w:hAnsi="Arial" w:cs="Arial"/>
          <w:sz w:val="22"/>
          <w:szCs w:val="22"/>
        </w:rPr>
      </w:pPr>
      <w:r w:rsidRPr="002604A1">
        <w:rPr>
          <w:rFonts w:ascii="Arial" w:hAnsi="Arial" w:cs="Arial"/>
          <w:sz w:val="22"/>
          <w:szCs w:val="22"/>
        </w:rPr>
        <w:t xml:space="preserve">Die Erhebung </w:t>
      </w:r>
      <w:r w:rsidR="00480978" w:rsidRPr="002604A1">
        <w:rPr>
          <w:rFonts w:ascii="Arial" w:hAnsi="Arial" w:cs="Arial"/>
          <w:sz w:val="22"/>
          <w:szCs w:val="22"/>
        </w:rPr>
        <w:t xml:space="preserve">von Stephanie Burger </w:t>
      </w:r>
      <w:r w:rsidR="006778D7" w:rsidRPr="002604A1">
        <w:rPr>
          <w:rFonts w:ascii="Arial" w:hAnsi="Arial" w:cs="Arial"/>
          <w:sz w:val="22"/>
          <w:szCs w:val="22"/>
        </w:rPr>
        <w:t xml:space="preserve">(TU Dresden) </w:t>
      </w:r>
      <w:r w:rsidR="004E0F52" w:rsidRPr="002604A1">
        <w:rPr>
          <w:rFonts w:ascii="Arial" w:hAnsi="Arial" w:cs="Arial"/>
          <w:sz w:val="22"/>
          <w:szCs w:val="22"/>
        </w:rPr>
        <w:t>hinterfragt</w:t>
      </w:r>
      <w:r w:rsidR="0097099C" w:rsidRPr="002604A1">
        <w:rPr>
          <w:rFonts w:ascii="Arial" w:hAnsi="Arial" w:cs="Arial"/>
          <w:sz w:val="22"/>
          <w:szCs w:val="22"/>
        </w:rPr>
        <w:t xml:space="preserve"> </w:t>
      </w:r>
      <w:r w:rsidR="0097099C" w:rsidRPr="002604A1">
        <w:rPr>
          <w:rFonts w:ascii="Arial" w:hAnsi="Arial" w:cs="Arial"/>
          <w:b/>
          <w:bCs/>
          <w:sz w:val="22"/>
          <w:szCs w:val="22"/>
        </w:rPr>
        <w:t>„Geschlechtergerechte</w:t>
      </w:r>
      <w:r w:rsidR="007914CD" w:rsidRPr="002604A1">
        <w:rPr>
          <w:rFonts w:ascii="Arial" w:hAnsi="Arial" w:cs="Arial"/>
          <w:b/>
          <w:bCs/>
          <w:sz w:val="22"/>
          <w:szCs w:val="22"/>
        </w:rPr>
        <w:t xml:space="preserve"> </w:t>
      </w:r>
      <w:r w:rsidR="0097099C" w:rsidRPr="002604A1">
        <w:rPr>
          <w:rFonts w:ascii="Arial" w:hAnsi="Arial" w:cs="Arial"/>
          <w:b/>
          <w:bCs/>
          <w:sz w:val="22"/>
          <w:szCs w:val="22"/>
        </w:rPr>
        <w:t>Karrierechancen ab Schule?“</w:t>
      </w:r>
      <w:r w:rsidR="0097099C" w:rsidRPr="002604A1">
        <w:rPr>
          <w:rFonts w:ascii="Arial" w:hAnsi="Arial" w:cs="Arial"/>
          <w:sz w:val="22"/>
          <w:szCs w:val="22"/>
        </w:rPr>
        <w:t xml:space="preserve"> A</w:t>
      </w:r>
      <w:r w:rsidRPr="002604A1">
        <w:rPr>
          <w:rFonts w:ascii="Arial" w:hAnsi="Arial" w:cs="Arial"/>
          <w:sz w:val="22"/>
          <w:szCs w:val="22"/>
        </w:rPr>
        <w:t>n sächsischen Schulen untersucht</w:t>
      </w:r>
      <w:r w:rsidR="0097099C" w:rsidRPr="002604A1">
        <w:rPr>
          <w:rFonts w:ascii="Arial" w:hAnsi="Arial" w:cs="Arial"/>
          <w:sz w:val="22"/>
          <w:szCs w:val="22"/>
        </w:rPr>
        <w:t>e</w:t>
      </w:r>
      <w:r w:rsidR="00672F4C" w:rsidRPr="002604A1">
        <w:rPr>
          <w:rFonts w:ascii="Arial" w:hAnsi="Arial" w:cs="Arial"/>
          <w:sz w:val="22"/>
          <w:szCs w:val="22"/>
        </w:rPr>
        <w:t xml:space="preserve"> sie </w:t>
      </w:r>
      <w:r w:rsidRPr="002604A1">
        <w:rPr>
          <w:rFonts w:ascii="Arial" w:hAnsi="Arial" w:cs="Arial"/>
          <w:sz w:val="22"/>
          <w:szCs w:val="22"/>
        </w:rPr>
        <w:t xml:space="preserve">Einflussfaktoren </w:t>
      </w:r>
      <w:r w:rsidR="005D4165" w:rsidRPr="002604A1">
        <w:rPr>
          <w:rFonts w:ascii="Arial" w:hAnsi="Arial" w:cs="Arial"/>
          <w:sz w:val="22"/>
          <w:szCs w:val="22"/>
        </w:rPr>
        <w:t xml:space="preserve">von Eltern, Peers, Lehrkräften, Lehr-Lern-Settings sowie individuelle Interessen und Selbstwirksamkeit </w:t>
      </w:r>
      <w:r w:rsidRPr="002604A1">
        <w:rPr>
          <w:rFonts w:ascii="Arial" w:hAnsi="Arial" w:cs="Arial"/>
          <w:sz w:val="22"/>
          <w:szCs w:val="22"/>
        </w:rPr>
        <w:t xml:space="preserve">auf die Berufswahl. Ziel ist es, daraus pädagogische Interventionsmöglichkeiten für die schulische Berufsorientierung abzuleiten, die </w:t>
      </w:r>
      <w:r w:rsidRPr="002604A1">
        <w:rPr>
          <w:rFonts w:ascii="Arial" w:hAnsi="Arial" w:cs="Arial"/>
          <w:sz w:val="22"/>
          <w:szCs w:val="22"/>
        </w:rPr>
        <w:lastRenderedPageBreak/>
        <w:t>geschlechtliche und binäre Aspekte berücksichtigen und so zur Überwindung geschlechtstypischer Berufswahlprozesse und zu mehr beruflicher Geschlechtergerechtigkeit beitragen.</w:t>
      </w:r>
    </w:p>
    <w:p w14:paraId="1E6033DB" w14:textId="726EAC74" w:rsidR="003F6722" w:rsidRDefault="003F6722" w:rsidP="003F6722">
      <w:pPr>
        <w:pStyle w:val="berschrift2"/>
      </w:pPr>
      <w:r>
        <w:t>Resilienz, Bildung, Nachhaltigkeit</w:t>
      </w:r>
    </w:p>
    <w:p w14:paraId="5098554C" w14:textId="1029604D" w:rsidR="00164199" w:rsidRPr="002604A1" w:rsidRDefault="00164199" w:rsidP="00D24DB9">
      <w:pPr>
        <w:pStyle w:val="StandardWeb"/>
        <w:rPr>
          <w:rFonts w:ascii="Arial" w:hAnsi="Arial" w:cs="Arial"/>
          <w:sz w:val="22"/>
          <w:szCs w:val="22"/>
        </w:rPr>
      </w:pPr>
      <w:r w:rsidRPr="002604A1">
        <w:rPr>
          <w:rFonts w:ascii="Arial" w:hAnsi="Arial" w:cs="Arial"/>
          <w:sz w:val="22"/>
          <w:szCs w:val="22"/>
        </w:rPr>
        <w:t xml:space="preserve">Suffizienz, verstanden als eine an freiwillige Genügsamkeit und Verbrauchsreduktion orientierte Lebens- und Wirtschaftsweise, gilt als eine zentrale Handlungsstrategie zur Erreichung ökologischer Nachhaltigkeit. </w:t>
      </w:r>
      <w:r w:rsidR="005B2BC5" w:rsidRPr="002604A1">
        <w:rPr>
          <w:rFonts w:ascii="Arial" w:hAnsi="Arial" w:cs="Arial"/>
          <w:sz w:val="22"/>
          <w:szCs w:val="22"/>
        </w:rPr>
        <w:t xml:space="preserve">Sie findet in der </w:t>
      </w:r>
      <w:r w:rsidRPr="002604A1">
        <w:rPr>
          <w:rFonts w:ascii="Arial" w:hAnsi="Arial" w:cs="Arial"/>
          <w:sz w:val="22"/>
          <w:szCs w:val="22"/>
        </w:rPr>
        <w:t xml:space="preserve">internationalen Nachhaltigkeitsdebatte verstärkt Beachtung. Mit </w:t>
      </w:r>
      <w:r w:rsidR="005B2BC5" w:rsidRPr="002604A1">
        <w:rPr>
          <w:rFonts w:ascii="Arial" w:hAnsi="Arial" w:cs="Arial"/>
          <w:sz w:val="22"/>
          <w:szCs w:val="22"/>
        </w:rPr>
        <w:t>ihrem</w:t>
      </w:r>
      <w:r w:rsidRPr="002604A1">
        <w:rPr>
          <w:rFonts w:ascii="Arial" w:hAnsi="Arial" w:cs="Arial"/>
          <w:sz w:val="22"/>
          <w:szCs w:val="22"/>
        </w:rPr>
        <w:t xml:space="preserve"> Beitrag </w:t>
      </w:r>
      <w:r w:rsidR="004E194E" w:rsidRPr="002604A1">
        <w:rPr>
          <w:rFonts w:ascii="Arial" w:hAnsi="Arial" w:cs="Arial"/>
          <w:b/>
          <w:bCs/>
          <w:sz w:val="22"/>
          <w:szCs w:val="22"/>
        </w:rPr>
        <w:t xml:space="preserve">„Resilienz durch </w:t>
      </w:r>
      <w:proofErr w:type="spellStart"/>
      <w:r w:rsidR="004E194E" w:rsidRPr="002604A1">
        <w:rPr>
          <w:rFonts w:ascii="Arial" w:hAnsi="Arial" w:cs="Arial"/>
          <w:b/>
          <w:bCs/>
          <w:sz w:val="22"/>
          <w:szCs w:val="22"/>
        </w:rPr>
        <w:t>suffzienzfördernde</w:t>
      </w:r>
      <w:proofErr w:type="spellEnd"/>
      <w:r w:rsidR="004E194E" w:rsidRPr="002604A1">
        <w:rPr>
          <w:rFonts w:ascii="Arial" w:hAnsi="Arial" w:cs="Arial"/>
          <w:b/>
          <w:bCs/>
          <w:sz w:val="22"/>
          <w:szCs w:val="22"/>
        </w:rPr>
        <w:t xml:space="preserve"> Arbeitslehre“</w:t>
      </w:r>
      <w:r w:rsidR="004E194E" w:rsidRPr="002604A1">
        <w:rPr>
          <w:rFonts w:ascii="Arial" w:hAnsi="Arial" w:cs="Arial"/>
          <w:sz w:val="22"/>
          <w:szCs w:val="22"/>
        </w:rPr>
        <w:t xml:space="preserve"> </w:t>
      </w:r>
      <w:r w:rsidRPr="002604A1">
        <w:rPr>
          <w:rFonts w:ascii="Arial" w:hAnsi="Arial" w:cs="Arial"/>
          <w:sz w:val="22"/>
          <w:szCs w:val="22"/>
        </w:rPr>
        <w:t>möchten</w:t>
      </w:r>
      <w:r w:rsidR="005B2BC5" w:rsidRPr="002604A1">
        <w:rPr>
          <w:rFonts w:ascii="Arial" w:hAnsi="Arial" w:cs="Arial"/>
          <w:sz w:val="22"/>
          <w:szCs w:val="22"/>
        </w:rPr>
        <w:t xml:space="preserve"> </w:t>
      </w:r>
      <w:r w:rsidR="004E194E" w:rsidRPr="002604A1">
        <w:rPr>
          <w:rFonts w:ascii="Arial" w:hAnsi="Arial" w:cs="Arial"/>
          <w:sz w:val="22"/>
          <w:szCs w:val="22"/>
        </w:rPr>
        <w:t>Maike Gossen und Ulf Schrader</w:t>
      </w:r>
      <w:r w:rsidRPr="002604A1">
        <w:rPr>
          <w:rFonts w:ascii="Arial" w:hAnsi="Arial" w:cs="Arial"/>
          <w:sz w:val="22"/>
          <w:szCs w:val="22"/>
        </w:rPr>
        <w:t xml:space="preserve"> </w:t>
      </w:r>
      <w:r w:rsidR="006C411B" w:rsidRPr="002604A1">
        <w:rPr>
          <w:rFonts w:ascii="Arial" w:hAnsi="Arial" w:cs="Arial"/>
          <w:sz w:val="22"/>
          <w:szCs w:val="22"/>
        </w:rPr>
        <w:t xml:space="preserve">(Fachgebite Arbeitslehre, Ökonomie und </w:t>
      </w:r>
      <w:r w:rsidR="004A3830" w:rsidRPr="002604A1">
        <w:rPr>
          <w:rFonts w:ascii="Arial" w:hAnsi="Arial" w:cs="Arial"/>
          <w:sz w:val="22"/>
          <w:szCs w:val="22"/>
        </w:rPr>
        <w:t>N</w:t>
      </w:r>
      <w:r w:rsidR="006C411B" w:rsidRPr="002604A1">
        <w:rPr>
          <w:rFonts w:ascii="Arial" w:hAnsi="Arial" w:cs="Arial"/>
          <w:sz w:val="22"/>
          <w:szCs w:val="22"/>
        </w:rPr>
        <w:t>achhaltiger Konsu</w:t>
      </w:r>
      <w:r w:rsidR="004A3830" w:rsidRPr="002604A1">
        <w:rPr>
          <w:rFonts w:ascii="Arial" w:hAnsi="Arial" w:cs="Arial"/>
          <w:sz w:val="22"/>
          <w:szCs w:val="22"/>
        </w:rPr>
        <w:t>m</w:t>
      </w:r>
      <w:r w:rsidR="006C411B" w:rsidRPr="002604A1">
        <w:rPr>
          <w:rFonts w:ascii="Arial" w:hAnsi="Arial" w:cs="Arial"/>
          <w:sz w:val="22"/>
          <w:szCs w:val="22"/>
        </w:rPr>
        <w:t xml:space="preserve"> an der TU Berlin) </w:t>
      </w:r>
      <w:r w:rsidRPr="002604A1">
        <w:rPr>
          <w:rFonts w:ascii="Arial" w:hAnsi="Arial" w:cs="Arial"/>
          <w:sz w:val="22"/>
          <w:szCs w:val="22"/>
        </w:rPr>
        <w:t xml:space="preserve">dazu beitragen, </w:t>
      </w:r>
      <w:proofErr w:type="gramStart"/>
      <w:r w:rsidR="00543A76" w:rsidRPr="002604A1">
        <w:rPr>
          <w:rFonts w:ascii="Arial" w:hAnsi="Arial" w:cs="Arial"/>
          <w:sz w:val="22"/>
          <w:szCs w:val="22"/>
        </w:rPr>
        <w:t>das</w:t>
      </w:r>
      <w:proofErr w:type="gramEnd"/>
      <w:r w:rsidR="00543A76" w:rsidRPr="002604A1">
        <w:rPr>
          <w:rFonts w:ascii="Arial" w:hAnsi="Arial" w:cs="Arial"/>
          <w:sz w:val="22"/>
          <w:szCs w:val="22"/>
        </w:rPr>
        <w:t xml:space="preserve"> Suffizienz auch in der Bildung für nachhaltige Entwicklung stärkere Beachtung finde</w:t>
      </w:r>
      <w:r w:rsidR="00D4765E" w:rsidRPr="002604A1">
        <w:rPr>
          <w:rFonts w:ascii="Arial" w:hAnsi="Arial" w:cs="Arial"/>
          <w:sz w:val="22"/>
          <w:szCs w:val="22"/>
        </w:rPr>
        <w:t>t und zeigen u.a.</w:t>
      </w:r>
      <w:r w:rsidRPr="002604A1">
        <w:rPr>
          <w:rFonts w:ascii="Arial" w:hAnsi="Arial" w:cs="Arial"/>
          <w:sz w:val="22"/>
          <w:szCs w:val="22"/>
        </w:rPr>
        <w:t xml:space="preserve">, weshalb die Arbeitslehre und verwandte Fächer besonders geeignet sind, </w:t>
      </w:r>
      <w:proofErr w:type="spellStart"/>
      <w:r w:rsidRPr="002604A1">
        <w:rPr>
          <w:rFonts w:ascii="Arial" w:hAnsi="Arial" w:cs="Arial"/>
          <w:sz w:val="22"/>
          <w:szCs w:val="22"/>
        </w:rPr>
        <w:t>suffizienzfördernde</w:t>
      </w:r>
      <w:proofErr w:type="spellEnd"/>
      <w:r w:rsidRPr="002604A1">
        <w:rPr>
          <w:rFonts w:ascii="Arial" w:hAnsi="Arial" w:cs="Arial"/>
          <w:sz w:val="22"/>
          <w:szCs w:val="22"/>
        </w:rPr>
        <w:t xml:space="preserve"> Bildung zu realisieren.</w:t>
      </w:r>
    </w:p>
    <w:p w14:paraId="52CADF5B" w14:textId="3033F247" w:rsidR="00DD18FB" w:rsidRDefault="006270E7" w:rsidP="00D24DB9">
      <w:pPr>
        <w:pStyle w:val="StandardWeb"/>
        <w:rPr>
          <w:rFonts w:ascii="Arial" w:hAnsi="Arial" w:cs="Arial"/>
          <w:sz w:val="22"/>
          <w:szCs w:val="22"/>
        </w:rPr>
      </w:pPr>
      <w:r w:rsidRPr="002604A1">
        <w:rPr>
          <w:rFonts w:ascii="Arial" w:hAnsi="Arial" w:cs="Arial"/>
          <w:sz w:val="22"/>
          <w:szCs w:val="22"/>
        </w:rPr>
        <w:t xml:space="preserve">Der </w:t>
      </w:r>
      <w:r w:rsidR="00283290" w:rsidRPr="002604A1">
        <w:rPr>
          <w:rFonts w:ascii="Arial" w:hAnsi="Arial" w:cs="Arial"/>
          <w:sz w:val="22"/>
          <w:szCs w:val="22"/>
        </w:rPr>
        <w:t>Beitrag „</w:t>
      </w:r>
      <w:r w:rsidR="00283290" w:rsidRPr="002604A1">
        <w:rPr>
          <w:rFonts w:ascii="Arial" w:hAnsi="Arial" w:cs="Arial"/>
          <w:b/>
          <w:bCs/>
          <w:sz w:val="22"/>
          <w:szCs w:val="22"/>
        </w:rPr>
        <w:t xml:space="preserve">KI für alle? Künstliche Intelligenz im Kontext von Inklusion und Gerechtigkeit in der Bildung“ </w:t>
      </w:r>
      <w:r w:rsidR="00453D8A" w:rsidRPr="002604A1">
        <w:rPr>
          <w:rFonts w:ascii="Arial" w:hAnsi="Arial" w:cs="Arial"/>
          <w:sz w:val="22"/>
          <w:szCs w:val="22"/>
        </w:rPr>
        <w:t>von Kathrin Bock (TU Hamburg)</w:t>
      </w:r>
      <w:r w:rsidRPr="002604A1">
        <w:rPr>
          <w:rFonts w:ascii="Arial" w:hAnsi="Arial" w:cs="Arial"/>
          <w:sz w:val="22"/>
          <w:szCs w:val="22"/>
        </w:rPr>
        <w:t xml:space="preserve"> argumentiert, dass KI im Bildungsbereich zwar das Potenzial hat, Inklusion und Bildungsgerechtigkeit zu fördern, dieses Potenzial aber kritisch geprüft werden muss – insbesondere darauf, ob es tatsächlich allen Lernenden zugutekommt. Dafür </w:t>
      </w:r>
      <w:r w:rsidR="00DE0E7E" w:rsidRPr="002604A1">
        <w:rPr>
          <w:rFonts w:ascii="Arial" w:hAnsi="Arial" w:cs="Arial"/>
          <w:sz w:val="22"/>
          <w:szCs w:val="22"/>
        </w:rPr>
        <w:t>ist</w:t>
      </w:r>
      <w:r w:rsidRPr="002604A1">
        <w:rPr>
          <w:rFonts w:ascii="Arial" w:hAnsi="Arial" w:cs="Arial"/>
          <w:sz w:val="22"/>
          <w:szCs w:val="22"/>
        </w:rPr>
        <w:t xml:space="preserve"> es wichtig, die Sichtweisen der Nutze</w:t>
      </w:r>
      <w:r w:rsidR="00DE0E7E" w:rsidRPr="002604A1">
        <w:rPr>
          <w:rFonts w:ascii="Arial" w:hAnsi="Arial" w:cs="Arial"/>
          <w:sz w:val="22"/>
          <w:szCs w:val="22"/>
        </w:rPr>
        <w:t xml:space="preserve">nden </w:t>
      </w:r>
      <w:r w:rsidRPr="002604A1">
        <w:rPr>
          <w:rFonts w:ascii="Arial" w:hAnsi="Arial" w:cs="Arial"/>
          <w:sz w:val="22"/>
          <w:szCs w:val="22"/>
        </w:rPr>
        <w:t>einzubeziehen</w:t>
      </w:r>
      <w:r w:rsidR="00E91C96" w:rsidRPr="002604A1">
        <w:rPr>
          <w:rFonts w:ascii="Arial" w:hAnsi="Arial" w:cs="Arial"/>
          <w:sz w:val="22"/>
          <w:szCs w:val="22"/>
        </w:rPr>
        <w:t>.</w:t>
      </w:r>
    </w:p>
    <w:p w14:paraId="585A35AE" w14:textId="29D61811" w:rsidR="003F6722" w:rsidRPr="003F6722" w:rsidRDefault="003F6722" w:rsidP="003F6722">
      <w:pPr>
        <w:pStyle w:val="berschrift2"/>
      </w:pPr>
      <w:r>
        <w:t>Resilienz,</w:t>
      </w:r>
      <w:r>
        <w:t xml:space="preserve"> </w:t>
      </w:r>
      <w:r>
        <w:t>Beruf, Unternehmen</w:t>
      </w:r>
    </w:p>
    <w:p w14:paraId="172DC3E3" w14:textId="6163E816" w:rsidR="00E16D3E" w:rsidRPr="002604A1" w:rsidRDefault="000E69C7" w:rsidP="00D24DB9">
      <w:pPr>
        <w:pStyle w:val="StandardWeb"/>
        <w:rPr>
          <w:rFonts w:ascii="Arial" w:hAnsi="Arial" w:cs="Arial"/>
          <w:sz w:val="22"/>
          <w:szCs w:val="22"/>
        </w:rPr>
      </w:pPr>
      <w:r w:rsidRPr="002604A1">
        <w:rPr>
          <w:rFonts w:ascii="Arial" w:hAnsi="Arial" w:cs="Arial"/>
          <w:sz w:val="22"/>
          <w:szCs w:val="22"/>
        </w:rPr>
        <w:t>Christiane Thole</w:t>
      </w:r>
      <w:r w:rsidR="00E16D3E" w:rsidRPr="002604A1">
        <w:rPr>
          <w:rFonts w:ascii="Arial" w:hAnsi="Arial" w:cs="Arial"/>
          <w:sz w:val="22"/>
          <w:szCs w:val="22"/>
        </w:rPr>
        <w:t xml:space="preserve"> untersucht die Entwicklung der beruflichen Identität von Auszubildenden im Einzelhandel und deren Bedeutung für die Arbeitslehre. </w:t>
      </w:r>
      <w:r w:rsidRPr="002604A1">
        <w:rPr>
          <w:rFonts w:ascii="Arial" w:hAnsi="Arial" w:cs="Arial"/>
          <w:sz w:val="22"/>
          <w:szCs w:val="22"/>
        </w:rPr>
        <w:t>Sie</w:t>
      </w:r>
      <w:r w:rsidR="00E16D3E" w:rsidRPr="002604A1">
        <w:rPr>
          <w:rFonts w:ascii="Arial" w:hAnsi="Arial" w:cs="Arial"/>
          <w:sz w:val="22"/>
          <w:szCs w:val="22"/>
        </w:rPr>
        <w:t xml:space="preserve"> beschreibt die Herausforderungen</w:t>
      </w:r>
      <w:r w:rsidR="00D04C94" w:rsidRPr="002604A1">
        <w:rPr>
          <w:rFonts w:ascii="Arial" w:hAnsi="Arial" w:cs="Arial"/>
          <w:sz w:val="22"/>
          <w:szCs w:val="22"/>
        </w:rPr>
        <w:t xml:space="preserve"> junger</w:t>
      </w:r>
      <w:r w:rsidR="00E16D3E" w:rsidRPr="002604A1">
        <w:rPr>
          <w:rFonts w:ascii="Arial" w:hAnsi="Arial" w:cs="Arial"/>
          <w:sz w:val="22"/>
          <w:szCs w:val="22"/>
        </w:rPr>
        <w:t xml:space="preserve"> Menschen beim Berufseinstieg </w:t>
      </w:r>
      <w:r w:rsidR="00D04C94" w:rsidRPr="002604A1">
        <w:rPr>
          <w:rFonts w:ascii="Arial" w:hAnsi="Arial" w:cs="Arial"/>
          <w:sz w:val="22"/>
          <w:szCs w:val="22"/>
        </w:rPr>
        <w:t>und deren Umgang mit diesen</w:t>
      </w:r>
      <w:r w:rsidR="00E16D3E" w:rsidRPr="002604A1">
        <w:rPr>
          <w:rFonts w:ascii="Arial" w:hAnsi="Arial" w:cs="Arial"/>
          <w:sz w:val="22"/>
          <w:szCs w:val="22"/>
        </w:rPr>
        <w:t xml:space="preserve">. Empirisch identifiziert die Autorin vier zentrale Entwicklungsaufgaben beim Übergang in den Beruf: Identifikation mit dem Beruf, Anerkennung im beruflichen Umfeld, Aufbau beruflicher Handlungskompetenz sowie aktive Mitgestaltung des Arbeitsumfelds und der eigenen Berufsbiografie. Daraus entwickelt </w:t>
      </w:r>
      <w:r w:rsidR="003E2B43" w:rsidRPr="002604A1">
        <w:rPr>
          <w:rFonts w:ascii="Arial" w:hAnsi="Arial" w:cs="Arial"/>
          <w:sz w:val="22"/>
          <w:szCs w:val="22"/>
        </w:rPr>
        <w:t>Thole in ihrem Text „</w:t>
      </w:r>
      <w:r w:rsidR="003E2B43" w:rsidRPr="002604A1">
        <w:rPr>
          <w:rFonts w:ascii="Arial" w:hAnsi="Arial" w:cs="Arial"/>
          <w:b/>
          <w:bCs/>
          <w:sz w:val="22"/>
          <w:szCs w:val="22"/>
        </w:rPr>
        <w:t xml:space="preserve">Resilienz durch </w:t>
      </w:r>
      <w:proofErr w:type="spellStart"/>
      <w:r w:rsidR="003E2B43" w:rsidRPr="002604A1">
        <w:rPr>
          <w:rFonts w:ascii="Arial" w:hAnsi="Arial" w:cs="Arial"/>
          <w:b/>
          <w:bCs/>
          <w:sz w:val="22"/>
          <w:szCs w:val="22"/>
        </w:rPr>
        <w:t>beruflicheIdentitätsarbeit</w:t>
      </w:r>
      <w:proofErr w:type="spellEnd"/>
      <w:r w:rsidR="003E2B43" w:rsidRPr="002604A1">
        <w:rPr>
          <w:rFonts w:ascii="Arial" w:hAnsi="Arial" w:cs="Arial"/>
          <w:b/>
          <w:bCs/>
          <w:sz w:val="22"/>
          <w:szCs w:val="22"/>
        </w:rPr>
        <w:t>: Ein nicht eingelöster Bildungsauftrag beruflicher</w:t>
      </w:r>
      <w:r w:rsidR="00356503" w:rsidRPr="002604A1">
        <w:rPr>
          <w:rFonts w:ascii="Arial" w:hAnsi="Arial" w:cs="Arial"/>
          <w:b/>
          <w:bCs/>
          <w:sz w:val="22"/>
          <w:szCs w:val="22"/>
        </w:rPr>
        <w:t xml:space="preserve"> </w:t>
      </w:r>
      <w:r w:rsidR="003E2B43" w:rsidRPr="002604A1">
        <w:rPr>
          <w:rFonts w:ascii="Arial" w:hAnsi="Arial" w:cs="Arial"/>
          <w:b/>
          <w:bCs/>
          <w:sz w:val="22"/>
          <w:szCs w:val="22"/>
        </w:rPr>
        <w:t>Schulen – Konsequenzen für eine integrative Didaktik der Arbeitslehre“</w:t>
      </w:r>
      <w:r w:rsidR="00E16D3E" w:rsidRPr="002604A1">
        <w:rPr>
          <w:rFonts w:ascii="Arial" w:hAnsi="Arial" w:cs="Arial"/>
          <w:sz w:val="22"/>
          <w:szCs w:val="22"/>
        </w:rPr>
        <w:t xml:space="preserve"> ein Leitbild sowie didaktische Empfehlungen zur gezielten Förderung der Identitätsentwicklung in der beruflichen Bildung. </w:t>
      </w:r>
    </w:p>
    <w:p w14:paraId="60522F28" w14:textId="3255C9CC" w:rsidR="00D24DB9" w:rsidRPr="002604A1" w:rsidRDefault="00C75970" w:rsidP="0007220E">
      <w:pPr>
        <w:pStyle w:val="p1"/>
        <w:rPr>
          <w:rFonts w:ascii="Arial" w:hAnsi="Arial" w:cs="Arial"/>
          <w:sz w:val="22"/>
          <w:szCs w:val="22"/>
        </w:rPr>
      </w:pPr>
      <w:r w:rsidRPr="002604A1">
        <w:rPr>
          <w:rFonts w:ascii="Arial" w:hAnsi="Arial" w:cs="Arial"/>
          <w:sz w:val="22"/>
          <w:szCs w:val="22"/>
        </w:rPr>
        <w:t>Ein Modell Resilienz von Unternehmen kann als theoretisches Fundament einer Analyse von Unternehmen mittels didaktischer Arbeitsanalyse in der Arbeitslehre dienen. Die Ergebnisse einer Umfrage zur unternehmerischen Resilienz unterstreichen die praktische Relevanz von Widerstands- und Anpassungsfähigkeit, nicht nur in Zeiten vielfältiger Transformationen von Arbeit, in denen der Umgang mit multiplen Krisen als das neue Normal gilt.</w:t>
      </w:r>
      <w:r w:rsidR="00792065" w:rsidRPr="002604A1">
        <w:rPr>
          <w:rFonts w:ascii="Arial" w:hAnsi="Arial" w:cs="Arial"/>
          <w:sz w:val="22"/>
          <w:szCs w:val="22"/>
        </w:rPr>
        <w:t xml:space="preserve"> Darüber berichtet der Beitrag </w:t>
      </w:r>
      <w:r w:rsidR="00336472" w:rsidRPr="002604A1">
        <w:rPr>
          <w:rFonts w:ascii="Arial" w:hAnsi="Arial" w:cs="Arial"/>
          <w:b/>
          <w:bCs/>
          <w:sz w:val="22"/>
          <w:szCs w:val="22"/>
        </w:rPr>
        <w:t>„Analyse von Unternehmen in multiplen Krisen als Beitrag zur Arbeitslehre“</w:t>
      </w:r>
      <w:r w:rsidR="00792065" w:rsidRPr="002604A1">
        <w:rPr>
          <w:rFonts w:ascii="Arial" w:hAnsi="Arial" w:cs="Arial"/>
          <w:sz w:val="22"/>
          <w:szCs w:val="22"/>
        </w:rPr>
        <w:t xml:space="preserve"> von Enrico</w:t>
      </w:r>
      <w:r w:rsidR="00485690" w:rsidRPr="002604A1">
        <w:rPr>
          <w:rFonts w:ascii="Arial" w:hAnsi="Arial" w:cs="Arial"/>
          <w:sz w:val="22"/>
          <w:szCs w:val="22"/>
        </w:rPr>
        <w:t xml:space="preserve"> </w:t>
      </w:r>
      <w:r w:rsidR="00792065" w:rsidRPr="002604A1">
        <w:rPr>
          <w:rFonts w:ascii="Arial" w:hAnsi="Arial" w:cs="Arial"/>
          <w:sz w:val="22"/>
          <w:szCs w:val="22"/>
        </w:rPr>
        <w:t>Schöbel</w:t>
      </w:r>
      <w:r w:rsidR="00485690" w:rsidRPr="002604A1">
        <w:rPr>
          <w:rFonts w:ascii="Arial" w:hAnsi="Arial" w:cs="Arial"/>
          <w:sz w:val="22"/>
          <w:szCs w:val="22"/>
        </w:rPr>
        <w:t xml:space="preserve">, Geschäftsführer </w:t>
      </w:r>
      <w:proofErr w:type="gramStart"/>
      <w:r w:rsidR="00485690" w:rsidRPr="002604A1">
        <w:rPr>
          <w:rFonts w:ascii="Arial" w:hAnsi="Arial" w:cs="Arial"/>
          <w:sz w:val="22"/>
          <w:szCs w:val="22"/>
        </w:rPr>
        <w:t>de</w:t>
      </w:r>
      <w:r w:rsidR="00336472" w:rsidRPr="002604A1">
        <w:rPr>
          <w:rFonts w:ascii="Arial" w:hAnsi="Arial" w:cs="Arial"/>
          <w:sz w:val="22"/>
          <w:szCs w:val="22"/>
        </w:rPr>
        <w:t>s</w:t>
      </w:r>
      <w:r w:rsidR="00485690" w:rsidRPr="002604A1">
        <w:rPr>
          <w:rFonts w:ascii="Arial" w:hAnsi="Arial" w:cs="Arial"/>
          <w:sz w:val="22"/>
          <w:szCs w:val="22"/>
        </w:rPr>
        <w:t xml:space="preserve"> IWT-Institut</w:t>
      </w:r>
      <w:proofErr w:type="gramEnd"/>
      <w:r w:rsidR="00485690" w:rsidRPr="002604A1">
        <w:rPr>
          <w:rFonts w:ascii="Arial" w:hAnsi="Arial" w:cs="Arial"/>
          <w:sz w:val="22"/>
          <w:szCs w:val="22"/>
        </w:rPr>
        <w:t xml:space="preserve"> der Wirtschaft Thüringens GmbH</w:t>
      </w:r>
      <w:r w:rsidR="00336472" w:rsidRPr="002604A1">
        <w:rPr>
          <w:rFonts w:ascii="Arial" w:hAnsi="Arial" w:cs="Arial"/>
          <w:sz w:val="22"/>
          <w:szCs w:val="22"/>
        </w:rPr>
        <w:t>.</w:t>
      </w:r>
    </w:p>
    <w:p w14:paraId="7360C6DA" w14:textId="77777777" w:rsidR="002A5AAA" w:rsidRPr="002604A1" w:rsidRDefault="002A5AAA" w:rsidP="0007220E">
      <w:pPr>
        <w:pStyle w:val="p1"/>
        <w:rPr>
          <w:rFonts w:ascii="Arial" w:hAnsi="Arial" w:cs="Arial"/>
          <w:b/>
          <w:bCs/>
          <w:sz w:val="22"/>
          <w:szCs w:val="22"/>
        </w:rPr>
      </w:pPr>
    </w:p>
    <w:p w14:paraId="139D1189" w14:textId="1565FE9F" w:rsidR="00BF1FB0" w:rsidRDefault="00174AB7" w:rsidP="003F6722">
      <w:pPr>
        <w:pStyle w:val="p1"/>
        <w:rPr>
          <w:rFonts w:ascii="Arial" w:hAnsi="Arial" w:cs="Arial"/>
          <w:sz w:val="22"/>
          <w:szCs w:val="22"/>
        </w:rPr>
      </w:pPr>
      <w:r w:rsidRPr="002604A1">
        <w:rPr>
          <w:rFonts w:ascii="Arial" w:hAnsi="Arial" w:cs="Arial"/>
          <w:sz w:val="22"/>
          <w:szCs w:val="22"/>
        </w:rPr>
        <w:t xml:space="preserve">In Hessen wird die berufliche Orientierung von Jugendlichen beim Übergang von Schule zu Beruf durch die Landesstrategie „OloV“ organisiert, deren Kern ein abgestimmtes Netzwerk </w:t>
      </w:r>
      <w:r w:rsidRPr="002604A1">
        <w:rPr>
          <w:rFonts w:ascii="Arial" w:hAnsi="Arial" w:cs="Arial"/>
          <w:sz w:val="22"/>
          <w:szCs w:val="22"/>
        </w:rPr>
        <w:lastRenderedPageBreak/>
        <w:t>verschiedener Akteure des Ausbildungs- und Arbeitsmarktes bildet. Die OloV-Koordination treibt dabei gezielt Netzwerke zu Themen wie MINT und „grüne Arbeitswelt“ voran. Konkret umgesetzt wird dies durch Projekte wie „</w:t>
      </w:r>
      <w:proofErr w:type="spellStart"/>
      <w:r w:rsidRPr="002604A1">
        <w:rPr>
          <w:rFonts w:ascii="Arial" w:hAnsi="Arial" w:cs="Arial"/>
          <w:sz w:val="22"/>
          <w:szCs w:val="22"/>
        </w:rPr>
        <w:t>Energiewende-</w:t>
      </w:r>
      <w:proofErr w:type="gramStart"/>
      <w:r w:rsidRPr="002604A1">
        <w:rPr>
          <w:rFonts w:ascii="Arial" w:hAnsi="Arial" w:cs="Arial"/>
          <w:sz w:val="22"/>
          <w:szCs w:val="22"/>
        </w:rPr>
        <w:t>Held:innen</w:t>
      </w:r>
      <w:proofErr w:type="spellEnd"/>
      <w:proofErr w:type="gramEnd"/>
      <w:r w:rsidRPr="002604A1">
        <w:rPr>
          <w:rFonts w:ascii="Arial" w:hAnsi="Arial" w:cs="Arial"/>
          <w:sz w:val="22"/>
          <w:szCs w:val="22"/>
        </w:rPr>
        <w:t>“ oder „Berufe machen Zukunft“, die Jugendlichen praxisnah berufliche Tätigkeiten im Bereich der Energiewende vermitteln.</w:t>
      </w:r>
      <w:r w:rsidR="00136240" w:rsidRPr="002604A1">
        <w:rPr>
          <w:rFonts w:ascii="Arial" w:hAnsi="Arial" w:cs="Arial"/>
          <w:sz w:val="22"/>
          <w:szCs w:val="22"/>
        </w:rPr>
        <w:t xml:space="preserve"> Der Text „</w:t>
      </w:r>
      <w:r w:rsidR="00136240" w:rsidRPr="002604A1">
        <w:rPr>
          <w:rFonts w:ascii="Arial" w:hAnsi="Arial" w:cs="Arial"/>
          <w:b/>
          <w:bCs/>
          <w:sz w:val="22"/>
          <w:szCs w:val="22"/>
        </w:rPr>
        <w:t>Berufe der Energiewende – Netzwerk und Praxisbeispiele Beruflicher Orientierung in Hessen“</w:t>
      </w:r>
      <w:r w:rsidR="00F50A44" w:rsidRPr="002604A1">
        <w:rPr>
          <w:rFonts w:ascii="Arial" w:hAnsi="Arial" w:cs="Arial"/>
          <w:b/>
          <w:bCs/>
          <w:sz w:val="22"/>
          <w:szCs w:val="22"/>
        </w:rPr>
        <w:t xml:space="preserve"> </w:t>
      </w:r>
      <w:r w:rsidR="00F50A44" w:rsidRPr="002604A1">
        <w:rPr>
          <w:rFonts w:ascii="Arial" w:hAnsi="Arial" w:cs="Arial"/>
          <w:sz w:val="22"/>
          <w:szCs w:val="22"/>
        </w:rPr>
        <w:t>von Hannah Nohr und Melanie Sittig</w:t>
      </w:r>
      <w:r w:rsidR="00257F3C" w:rsidRPr="002604A1">
        <w:rPr>
          <w:rFonts w:ascii="Arial" w:hAnsi="Arial" w:cs="Arial"/>
          <w:sz w:val="22"/>
          <w:szCs w:val="22"/>
        </w:rPr>
        <w:t xml:space="preserve"> aus dem Netzwerk</w:t>
      </w:r>
      <w:r w:rsidR="00D5124F" w:rsidRPr="002604A1">
        <w:rPr>
          <w:rFonts w:ascii="Arial" w:hAnsi="Arial" w:cs="Arial"/>
          <w:sz w:val="22"/>
          <w:szCs w:val="22"/>
        </w:rPr>
        <w:t xml:space="preserve"> stellen ihre Arbeit</w:t>
      </w:r>
      <w:r w:rsidR="00951E66" w:rsidRPr="002604A1">
        <w:rPr>
          <w:rFonts w:ascii="Arial" w:hAnsi="Arial" w:cs="Arial"/>
          <w:sz w:val="22"/>
          <w:szCs w:val="22"/>
        </w:rPr>
        <w:t xml:space="preserve"> praxisorientiert vor.</w:t>
      </w:r>
    </w:p>
    <w:p w14:paraId="4B281D9A" w14:textId="77777777" w:rsidR="003F6722" w:rsidRDefault="003F6722" w:rsidP="003F6722">
      <w:pPr>
        <w:pStyle w:val="p1"/>
        <w:rPr>
          <w:rFonts w:ascii="Arial" w:hAnsi="Arial" w:cs="Arial"/>
          <w:sz w:val="22"/>
          <w:szCs w:val="22"/>
        </w:rPr>
      </w:pPr>
    </w:p>
    <w:p w14:paraId="02E7C1D5" w14:textId="118BF903" w:rsidR="003F6722" w:rsidRPr="003F6722" w:rsidRDefault="003F6722" w:rsidP="003F6722">
      <w:pPr>
        <w:pStyle w:val="berschrift2"/>
      </w:pPr>
      <w:proofErr w:type="spellStart"/>
      <w:proofErr w:type="gramStart"/>
      <w:r>
        <w:t>Resilien</w:t>
      </w:r>
      <w:r>
        <w:t>z</w:t>
      </w:r>
      <w:r>
        <w:t>,Technik</w:t>
      </w:r>
      <w:proofErr w:type="spellEnd"/>
      <w:proofErr w:type="gramEnd"/>
      <w:r>
        <w:t>, Digitalisierung</w:t>
      </w:r>
    </w:p>
    <w:p w14:paraId="6657B7C0" w14:textId="28DD1B67" w:rsidR="00A71E96" w:rsidRPr="002604A1" w:rsidRDefault="0087025C" w:rsidP="002579A1">
      <w:pPr>
        <w:pStyle w:val="p1"/>
        <w:rPr>
          <w:rFonts w:ascii="Arial" w:hAnsi="Arial" w:cs="Arial"/>
          <w:sz w:val="22"/>
          <w:szCs w:val="22"/>
        </w:rPr>
      </w:pPr>
      <w:r w:rsidRPr="002579A1">
        <w:rPr>
          <w:rFonts w:ascii="Arial" w:hAnsi="Arial" w:cs="Arial"/>
          <w:sz w:val="22"/>
          <w:szCs w:val="22"/>
        </w:rPr>
        <w:t xml:space="preserve">Der </w:t>
      </w:r>
      <w:r w:rsidRPr="00AD082A">
        <w:rPr>
          <w:rFonts w:ascii="Arial" w:hAnsi="Arial" w:cs="Arial"/>
          <w:b/>
          <w:bCs/>
          <w:sz w:val="22"/>
          <w:szCs w:val="22"/>
        </w:rPr>
        <w:t>„Resilienz im Gastgewerbe: Die Rolle von Robotik und technologischen Innovationen“</w:t>
      </w:r>
      <w:r w:rsidR="006E11FC" w:rsidRPr="002579A1">
        <w:rPr>
          <w:rFonts w:ascii="Arial" w:hAnsi="Arial" w:cs="Arial"/>
          <w:sz w:val="22"/>
          <w:szCs w:val="22"/>
        </w:rPr>
        <w:t xml:space="preserve"> </w:t>
      </w:r>
      <w:r w:rsidR="006E11FC" w:rsidRPr="002604A1">
        <w:rPr>
          <w:rFonts w:ascii="Arial" w:hAnsi="Arial" w:cs="Arial"/>
          <w:sz w:val="22"/>
          <w:szCs w:val="22"/>
        </w:rPr>
        <w:t>geht Markus Gitter (</w:t>
      </w:r>
      <w:r w:rsidR="00F44E3D" w:rsidRPr="002604A1">
        <w:rPr>
          <w:rFonts w:ascii="Arial" w:hAnsi="Arial" w:cs="Arial"/>
          <w:sz w:val="22"/>
          <w:szCs w:val="22"/>
        </w:rPr>
        <w:t xml:space="preserve">Europa-Universität Flensburg) nach. </w:t>
      </w:r>
      <w:r w:rsidR="00192347" w:rsidRPr="002604A1">
        <w:rPr>
          <w:rFonts w:ascii="Arial" w:hAnsi="Arial" w:cs="Arial"/>
          <w:sz w:val="22"/>
          <w:szCs w:val="22"/>
        </w:rPr>
        <w:t>Er</w:t>
      </w:r>
      <w:r w:rsidR="00A71E96" w:rsidRPr="002604A1">
        <w:rPr>
          <w:rFonts w:ascii="Arial" w:hAnsi="Arial" w:cs="Arial"/>
          <w:sz w:val="22"/>
          <w:szCs w:val="22"/>
        </w:rPr>
        <w:t xml:space="preserve"> untersucht den Einsatz von Robotik und innovativen Technologien als strategische Antwort auf Herausforderungen</w:t>
      </w:r>
      <w:r w:rsidR="00192347" w:rsidRPr="002604A1">
        <w:rPr>
          <w:rFonts w:ascii="Arial" w:hAnsi="Arial" w:cs="Arial"/>
          <w:sz w:val="22"/>
          <w:szCs w:val="22"/>
        </w:rPr>
        <w:t xml:space="preserve"> des Gastgewerbes</w:t>
      </w:r>
      <w:r w:rsidR="00C77E9D" w:rsidRPr="002604A1">
        <w:rPr>
          <w:rFonts w:ascii="Arial" w:hAnsi="Arial" w:cs="Arial"/>
          <w:sz w:val="22"/>
          <w:szCs w:val="22"/>
        </w:rPr>
        <w:t xml:space="preserve"> mit dem</w:t>
      </w:r>
      <w:r w:rsidR="00A71E96" w:rsidRPr="002604A1">
        <w:rPr>
          <w:rFonts w:ascii="Arial" w:hAnsi="Arial" w:cs="Arial"/>
          <w:sz w:val="22"/>
          <w:szCs w:val="22"/>
        </w:rPr>
        <w:t xml:space="preserve"> Ziel</w:t>
      </w:r>
      <w:r w:rsidR="00C77E9D" w:rsidRPr="002604A1">
        <w:rPr>
          <w:rFonts w:ascii="Arial" w:hAnsi="Arial" w:cs="Arial"/>
          <w:sz w:val="22"/>
          <w:szCs w:val="22"/>
        </w:rPr>
        <w:t>,</w:t>
      </w:r>
      <w:r w:rsidR="00A71E96" w:rsidRPr="002604A1">
        <w:rPr>
          <w:rFonts w:ascii="Arial" w:hAnsi="Arial" w:cs="Arial"/>
          <w:sz w:val="22"/>
          <w:szCs w:val="22"/>
        </w:rPr>
        <w:t xml:space="preserve"> praxisrelevante Erkenntnisse zu gewinnen und die Diskussion über die Balance zwischen technologischer Innovation und traditioneller Gastfreundschaft voranzutreiben.</w:t>
      </w:r>
    </w:p>
    <w:p w14:paraId="5041E3AE" w14:textId="77777777" w:rsidR="00AD082A" w:rsidRDefault="00AD082A" w:rsidP="00AD082A">
      <w:pPr>
        <w:pStyle w:val="p1"/>
        <w:rPr>
          <w:rFonts w:ascii="Arial" w:hAnsi="Arial" w:cs="Arial"/>
          <w:sz w:val="22"/>
          <w:szCs w:val="22"/>
        </w:rPr>
      </w:pPr>
    </w:p>
    <w:p w14:paraId="12ECAAD1" w14:textId="2C54E780" w:rsidR="00C71B6C" w:rsidRPr="002604A1" w:rsidRDefault="00C71B6C" w:rsidP="00AD082A">
      <w:pPr>
        <w:pStyle w:val="p1"/>
        <w:rPr>
          <w:rFonts w:ascii="Arial" w:hAnsi="Arial" w:cs="Arial"/>
          <w:sz w:val="22"/>
          <w:szCs w:val="22"/>
        </w:rPr>
      </w:pPr>
      <w:r w:rsidRPr="002604A1">
        <w:rPr>
          <w:rFonts w:ascii="Arial" w:hAnsi="Arial" w:cs="Arial"/>
          <w:sz w:val="22"/>
          <w:szCs w:val="22"/>
        </w:rPr>
        <w:t>Matthias Schönbeck</w:t>
      </w:r>
      <w:r w:rsidR="00B20324" w:rsidRPr="002604A1">
        <w:rPr>
          <w:rFonts w:ascii="Arial" w:hAnsi="Arial" w:cs="Arial"/>
          <w:sz w:val="22"/>
          <w:szCs w:val="22"/>
        </w:rPr>
        <w:t xml:space="preserve"> </w:t>
      </w:r>
      <w:r w:rsidR="001A3324" w:rsidRPr="002604A1">
        <w:rPr>
          <w:rFonts w:ascii="Arial" w:hAnsi="Arial" w:cs="Arial"/>
          <w:sz w:val="22"/>
          <w:szCs w:val="22"/>
        </w:rPr>
        <w:t xml:space="preserve">(Professor für Fachdidaktik WTH an der Technischen Universität Chemnitz) </w:t>
      </w:r>
      <w:r w:rsidR="00B20324" w:rsidRPr="002604A1">
        <w:rPr>
          <w:rFonts w:ascii="Arial" w:hAnsi="Arial" w:cs="Arial"/>
          <w:sz w:val="22"/>
          <w:szCs w:val="22"/>
        </w:rPr>
        <w:t xml:space="preserve">betrachtet </w:t>
      </w:r>
      <w:r w:rsidR="00507CF2" w:rsidRPr="002604A1">
        <w:rPr>
          <w:rFonts w:ascii="Arial" w:hAnsi="Arial" w:cs="Arial"/>
          <w:sz w:val="22"/>
          <w:szCs w:val="22"/>
        </w:rPr>
        <w:t xml:space="preserve">Beziehungen, die sich im Prozess des Reparierens technischer Objekte entfalten. Im Fokus seines Beitrags </w:t>
      </w:r>
      <w:r w:rsidR="00507CF2" w:rsidRPr="00AD082A">
        <w:rPr>
          <w:rFonts w:ascii="Arial" w:hAnsi="Arial" w:cs="Arial"/>
          <w:b/>
          <w:bCs/>
          <w:sz w:val="22"/>
          <w:szCs w:val="22"/>
        </w:rPr>
        <w:t>„Beziehungen zur Technik entwickeln. Reparieren im Lehramtsstudium“</w:t>
      </w:r>
      <w:r w:rsidR="00286ECE" w:rsidRPr="00AD082A">
        <w:rPr>
          <w:rFonts w:ascii="Arial" w:hAnsi="Arial" w:cs="Arial"/>
          <w:sz w:val="22"/>
          <w:szCs w:val="22"/>
        </w:rPr>
        <w:t xml:space="preserve"> </w:t>
      </w:r>
      <w:r w:rsidR="00507CF2" w:rsidRPr="002604A1">
        <w:rPr>
          <w:rFonts w:ascii="Arial" w:hAnsi="Arial" w:cs="Arial"/>
          <w:sz w:val="22"/>
          <w:szCs w:val="22"/>
        </w:rPr>
        <w:t xml:space="preserve">stehen die Wechselwirkungen zwischen körperlichen und kognitiven Prozessen sowie individuellen Einstellungen zum Reparieren. </w:t>
      </w:r>
      <w:r w:rsidR="00072739" w:rsidRPr="002604A1">
        <w:rPr>
          <w:rFonts w:ascii="Arial" w:hAnsi="Arial" w:cs="Arial"/>
          <w:sz w:val="22"/>
          <w:szCs w:val="22"/>
        </w:rPr>
        <w:t>Da dies im</w:t>
      </w:r>
      <w:r w:rsidR="00507CF2" w:rsidRPr="002604A1">
        <w:rPr>
          <w:rFonts w:ascii="Arial" w:hAnsi="Arial" w:cs="Arial"/>
          <w:sz w:val="22"/>
          <w:szCs w:val="22"/>
        </w:rPr>
        <w:t xml:space="preserve"> Lehramtsstudium </w:t>
      </w:r>
      <w:r w:rsidR="00072739" w:rsidRPr="002604A1">
        <w:rPr>
          <w:rFonts w:ascii="Arial" w:hAnsi="Arial" w:cs="Arial"/>
          <w:sz w:val="22"/>
          <w:szCs w:val="22"/>
        </w:rPr>
        <w:t xml:space="preserve">verortet ist, </w:t>
      </w:r>
      <w:r w:rsidR="00507CF2" w:rsidRPr="002604A1">
        <w:rPr>
          <w:rFonts w:ascii="Arial" w:hAnsi="Arial" w:cs="Arial"/>
          <w:sz w:val="22"/>
          <w:szCs w:val="22"/>
        </w:rPr>
        <w:t>liegt der Schwerpunkt weniger auf der reinen Mängelbeseitigung, sondern vielmehr auf der individuellen Wertschätzung und der kreativen Auseinandersetzung mit dem Objekt.</w:t>
      </w:r>
    </w:p>
    <w:p w14:paraId="6CFB40DD" w14:textId="77777777" w:rsidR="001D753E" w:rsidRDefault="001D753E" w:rsidP="00AD082A">
      <w:pPr>
        <w:pStyle w:val="berschrift2"/>
      </w:pPr>
    </w:p>
    <w:p w14:paraId="4F87A302" w14:textId="1403B31E" w:rsidR="00575AC6" w:rsidRPr="001D753E" w:rsidRDefault="00575AC6" w:rsidP="00AD082A">
      <w:pPr>
        <w:pStyle w:val="berschrift2"/>
        <w:rPr>
          <w:rFonts w:ascii="Arial" w:hAnsi="Arial" w:cs="Arial"/>
        </w:rPr>
      </w:pPr>
      <w:r w:rsidRPr="001D753E">
        <w:rPr>
          <w:rFonts w:ascii="Arial" w:hAnsi="Arial" w:cs="Arial"/>
        </w:rPr>
        <w:t>Fazit</w:t>
      </w:r>
    </w:p>
    <w:p w14:paraId="772B9F8C" w14:textId="4955AC70" w:rsidR="00575AC6" w:rsidRDefault="00575AC6" w:rsidP="00AD082A">
      <w:pPr>
        <w:pStyle w:val="p1"/>
        <w:rPr>
          <w:rFonts w:ascii="Arial" w:hAnsi="Arial" w:cs="Arial"/>
          <w:sz w:val="22"/>
          <w:szCs w:val="22"/>
        </w:rPr>
      </w:pPr>
      <w:r w:rsidRPr="002604A1">
        <w:rPr>
          <w:rFonts w:ascii="Arial" w:hAnsi="Arial" w:cs="Arial"/>
          <w:sz w:val="22"/>
          <w:szCs w:val="22"/>
        </w:rPr>
        <w:t xml:space="preserve">Der Sammelband zeigt auf vielfältigste Weise, das Arbeitsorientierte Bildung einen wichtigen Beitrag leisten kann, um Menschen und Gesellschaft widerstandsfähiger gegenüber Krisen zu machen. </w:t>
      </w:r>
      <w:r w:rsidR="009B1D18" w:rsidRPr="002604A1">
        <w:rPr>
          <w:rFonts w:ascii="Arial" w:hAnsi="Arial" w:cs="Arial"/>
          <w:sz w:val="22"/>
          <w:szCs w:val="22"/>
        </w:rPr>
        <w:t xml:space="preserve">Die Diskussion verschiedener </w:t>
      </w:r>
      <w:r w:rsidRPr="002604A1">
        <w:rPr>
          <w:rFonts w:ascii="Arial" w:hAnsi="Arial" w:cs="Arial"/>
          <w:sz w:val="22"/>
          <w:szCs w:val="22"/>
        </w:rPr>
        <w:t>Perspektiven aus Arbeitslehre, Berufsorientierung, Nachhaltigkeitsbildung und technischer Bildung</w:t>
      </w:r>
      <w:r w:rsidR="009B1D18" w:rsidRPr="002604A1">
        <w:rPr>
          <w:rFonts w:ascii="Arial" w:hAnsi="Arial" w:cs="Arial"/>
          <w:sz w:val="22"/>
          <w:szCs w:val="22"/>
        </w:rPr>
        <w:t xml:space="preserve"> </w:t>
      </w:r>
      <w:r w:rsidR="00807CA4" w:rsidRPr="002604A1">
        <w:rPr>
          <w:rFonts w:ascii="Arial" w:hAnsi="Arial" w:cs="Arial"/>
          <w:sz w:val="22"/>
          <w:szCs w:val="22"/>
        </w:rPr>
        <w:t xml:space="preserve">sind facettenreich und </w:t>
      </w:r>
      <w:r w:rsidR="009B1D18" w:rsidRPr="002604A1">
        <w:rPr>
          <w:rFonts w:ascii="Arial" w:hAnsi="Arial" w:cs="Arial"/>
          <w:sz w:val="22"/>
          <w:szCs w:val="22"/>
        </w:rPr>
        <w:t>können</w:t>
      </w:r>
      <w:r w:rsidR="00401DF3" w:rsidRPr="002604A1">
        <w:rPr>
          <w:rFonts w:ascii="Arial" w:hAnsi="Arial" w:cs="Arial"/>
          <w:sz w:val="22"/>
          <w:szCs w:val="22"/>
        </w:rPr>
        <w:t>, je nach Bildungsziel, auch in die Erwachsenen -und Weiterbildung</w:t>
      </w:r>
      <w:r w:rsidR="00807CA4" w:rsidRPr="002604A1">
        <w:rPr>
          <w:rFonts w:ascii="Arial" w:hAnsi="Arial" w:cs="Arial"/>
          <w:sz w:val="22"/>
          <w:szCs w:val="22"/>
        </w:rPr>
        <w:t xml:space="preserve"> übertragen werden</w:t>
      </w:r>
      <w:r w:rsidR="00C5145B" w:rsidRPr="002604A1">
        <w:rPr>
          <w:rFonts w:ascii="Arial" w:hAnsi="Arial" w:cs="Arial"/>
          <w:sz w:val="22"/>
          <w:szCs w:val="22"/>
        </w:rPr>
        <w:t>, um die Resilienz der Lernenden, zum Teil auch der Bildungseinrichtungen, zu stärken</w:t>
      </w:r>
      <w:r w:rsidR="00807CA4" w:rsidRPr="002604A1">
        <w:rPr>
          <w:rFonts w:ascii="Arial" w:hAnsi="Arial" w:cs="Arial"/>
          <w:sz w:val="22"/>
          <w:szCs w:val="22"/>
        </w:rPr>
        <w:t>.</w:t>
      </w:r>
    </w:p>
    <w:p w14:paraId="6A2CDC2B" w14:textId="77777777" w:rsidR="0059615E" w:rsidRDefault="0059615E" w:rsidP="00AD082A">
      <w:pPr>
        <w:pStyle w:val="p1"/>
        <w:rPr>
          <w:rFonts w:ascii="Arial" w:hAnsi="Arial" w:cs="Arial"/>
          <w:sz w:val="22"/>
          <w:szCs w:val="22"/>
        </w:rPr>
      </w:pPr>
    </w:p>
    <w:p w14:paraId="6F040EBC" w14:textId="2C6A84FB" w:rsidR="0059615E" w:rsidRDefault="0059615E" w:rsidP="00AD082A">
      <w:pPr>
        <w:pStyle w:val="p1"/>
        <w:rPr>
          <w:rFonts w:ascii="Arial" w:hAnsi="Arial" w:cs="Arial"/>
          <w:sz w:val="22"/>
          <w:szCs w:val="22"/>
        </w:rPr>
      </w:pPr>
      <w:r>
        <w:rPr>
          <w:rFonts w:ascii="Arial" w:hAnsi="Arial" w:cs="Arial"/>
          <w:noProof/>
          <w:sz w:val="22"/>
          <w:szCs w:val="22"/>
        </w:rPr>
        <w:lastRenderedPageBreak/>
        <w:drawing>
          <wp:inline distT="0" distB="0" distL="0" distR="0" wp14:anchorId="0D7C5991" wp14:editId="73D65B59">
            <wp:extent cx="5760720" cy="2884170"/>
            <wp:effectExtent l="0" t="0" r="5080" b="0"/>
            <wp:docPr id="20712131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3124" name="Grafik 20712131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884170"/>
                    </a:xfrm>
                    <a:prstGeom prst="rect">
                      <a:avLst/>
                    </a:prstGeom>
                  </pic:spPr>
                </pic:pic>
              </a:graphicData>
            </a:graphic>
          </wp:inline>
        </w:drawing>
      </w:r>
    </w:p>
    <w:p w14:paraId="47457791" w14:textId="77777777" w:rsidR="001A3324" w:rsidRPr="006E11FC" w:rsidRDefault="001A3324" w:rsidP="00A71E96">
      <w:pPr>
        <w:rPr>
          <w:rFonts w:ascii="Arial" w:hAnsi="Arial" w:cs="Arial"/>
        </w:rPr>
      </w:pPr>
    </w:p>
    <w:p w14:paraId="3D395244" w14:textId="2A30669F" w:rsidR="00C40276" w:rsidRPr="00B26B12" w:rsidRDefault="008A4C47" w:rsidP="00C40276">
      <w:pPr>
        <w:tabs>
          <w:tab w:val="left" w:pos="8080"/>
        </w:tabs>
        <w:rPr>
          <w:b/>
          <w:color w:val="0049A2"/>
          <w:sz w:val="24"/>
          <w:szCs w:val="24"/>
        </w:rPr>
      </w:pPr>
      <w:hyperlink r:id="rId13" w:history="1">
        <w:r w:rsidR="00C40276" w:rsidRPr="008A4C47">
          <w:rPr>
            <w:rStyle w:val="Hyperlink"/>
            <w:rFonts w:ascii="Arial" w:hAnsi="Arial" w:cs="Arial"/>
          </w:rPr>
          <w:t>Buchvorstellung „Arbeitslehre und Resilienz“</w:t>
        </w:r>
      </w:hyperlink>
      <w:r w:rsidR="00C40276" w:rsidRPr="00C40276">
        <w:rPr>
          <w:rFonts w:ascii="Arial" w:hAnsi="Arial" w:cs="Arial"/>
        </w:rPr>
        <w:t xml:space="preserve"> von Lars Kilian für wb-web (2026),</w:t>
      </w:r>
      <w:r w:rsidR="00C40276">
        <w:t xml:space="preserve"> </w:t>
      </w:r>
      <w:bookmarkStart w:id="0" w:name="h.gjdgxs" w:colFirst="0" w:colLast="0"/>
      <w:bookmarkEnd w:id="0"/>
      <w:r w:rsidR="00C40276" w:rsidRPr="00573F48">
        <w:rPr>
          <w:rFonts w:ascii="Arial" w:hAnsi="Arial" w:cs="Arial"/>
        </w:rPr>
        <w:fldChar w:fldCharType="begin"/>
      </w:r>
      <w:r w:rsidR="00C40276">
        <w:rPr>
          <w:rFonts w:ascii="Arial" w:hAnsi="Arial" w:cs="Arial"/>
        </w:rPr>
        <w:instrText>HYPERLINK "https://diebonnde-my.sharepoint.com/personal/kilian_die-bonn_de/Documents/creativecommons.org/licenses/by-sa/4.0/deed.de"</w:instrText>
      </w:r>
      <w:r w:rsidR="00C40276" w:rsidRPr="00573F48">
        <w:rPr>
          <w:rFonts w:ascii="Arial" w:hAnsi="Arial" w:cs="Arial"/>
        </w:rPr>
      </w:r>
      <w:r w:rsidR="00C40276" w:rsidRPr="00573F48">
        <w:rPr>
          <w:rFonts w:ascii="Arial" w:hAnsi="Arial" w:cs="Arial"/>
        </w:rPr>
        <w:fldChar w:fldCharType="separate"/>
      </w:r>
      <w:r w:rsidR="00C40276" w:rsidRPr="00573F48">
        <w:rPr>
          <w:rStyle w:val="Hyperlink"/>
          <w:rFonts w:ascii="Arial" w:hAnsi="Arial" w:cs="Arial"/>
        </w:rPr>
        <w:t>CC BY-SA 4.0</w:t>
      </w:r>
      <w:r w:rsidR="00C40276" w:rsidRPr="00573F48">
        <w:rPr>
          <w:rFonts w:ascii="Arial" w:hAnsi="Arial" w:cs="Arial"/>
        </w:rPr>
        <w:fldChar w:fldCharType="end"/>
      </w:r>
    </w:p>
    <w:p w14:paraId="6B6575A6" w14:textId="721777E5" w:rsidR="00FD4313" w:rsidRPr="00B26B12" w:rsidRDefault="00FD4313" w:rsidP="005C650B">
      <w:pPr>
        <w:spacing w:after="0"/>
        <w:rPr>
          <w:b/>
          <w:color w:val="0049A2"/>
          <w:sz w:val="24"/>
          <w:szCs w:val="24"/>
        </w:rPr>
      </w:pPr>
    </w:p>
    <w:sectPr w:rsidR="00FD4313" w:rsidRPr="00B26B12" w:rsidSect="003B00B1">
      <w:headerReference w:type="default" r:id="rId14"/>
      <w:footerReference w:type="default" r:id="rId15"/>
      <w:pgSz w:w="11906" w:h="16838"/>
      <w:pgMar w:top="2552" w:right="1417" w:bottom="1134" w:left="1417"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08A952" w14:textId="77777777" w:rsidR="00694BDB" w:rsidRDefault="00694BDB" w:rsidP="00014AE4">
      <w:pPr>
        <w:spacing w:after="0" w:line="240" w:lineRule="auto"/>
      </w:pPr>
      <w:r>
        <w:separator/>
      </w:r>
    </w:p>
  </w:endnote>
  <w:endnote w:type="continuationSeparator" w:id="0">
    <w:p w14:paraId="13FFDFBE" w14:textId="77777777" w:rsidR="00694BDB" w:rsidRDefault="00694BDB" w:rsidP="00014AE4">
      <w:pPr>
        <w:spacing w:after="0" w:line="240" w:lineRule="auto"/>
      </w:pPr>
      <w:r>
        <w:continuationSeparator/>
      </w:r>
    </w:p>
  </w:endnote>
  <w:endnote w:type="continuationNotice" w:id="1">
    <w:p w14:paraId="10E421A9" w14:textId="77777777" w:rsidR="00694BDB" w:rsidRDefault="00694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DINPro">
    <w:altName w:val="Segoe Script"/>
    <w:panose1 w:val="020B0604020202020204"/>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E277D" w14:textId="7257C500" w:rsidR="0040731C" w:rsidRPr="003F6722" w:rsidRDefault="00327355" w:rsidP="0040731C">
    <w:pPr>
      <w:autoSpaceDE w:val="0"/>
      <w:autoSpaceDN w:val="0"/>
      <w:adjustRightInd w:val="0"/>
      <w:spacing w:after="0" w:line="240" w:lineRule="auto"/>
      <w:rPr>
        <w:rFonts w:ascii="DINPro" w:hAnsi="DINPro" w:cs="DINPro"/>
        <w:color w:val="333333"/>
        <w:sz w:val="16"/>
        <w:szCs w:val="16"/>
      </w:rPr>
    </w:pPr>
    <w:r w:rsidRPr="00327355">
      <w:rPr>
        <w:rStyle w:val="Hyperlink"/>
        <w:noProof/>
      </w:rPr>
      <w:drawing>
        <wp:anchor distT="0" distB="0" distL="114300" distR="114300" simplePos="0" relativeHeight="251658242" behindDoc="0" locked="0" layoutInCell="1" allowOverlap="1" wp14:anchorId="533D96AA" wp14:editId="38E33EF6">
          <wp:simplePos x="0" y="0"/>
          <wp:positionH relativeFrom="margin">
            <wp:align>left</wp:align>
          </wp:positionH>
          <wp:positionV relativeFrom="margin">
            <wp:posOffset>8017721</wp:posOffset>
          </wp:positionV>
          <wp:extent cx="1038225" cy="342900"/>
          <wp:effectExtent l="0" t="0" r="9525" b="0"/>
          <wp:wrapSquare wrapText="bothSides"/>
          <wp:docPr id="7"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38225" cy="342900"/>
                  </a:xfrm>
                  <a:prstGeom prst="rect">
                    <a:avLst/>
                  </a:prstGeom>
                  <a:ln/>
                </pic:spPr>
              </pic:pic>
            </a:graphicData>
          </a:graphic>
          <wp14:sizeRelH relativeFrom="margin">
            <wp14:pctWidth>0</wp14:pctWidth>
          </wp14:sizeRelH>
          <wp14:sizeRelV relativeFrom="margin">
            <wp14:pctHeight>0</wp14:pctHeight>
          </wp14:sizeRelV>
        </wp:anchor>
      </w:drawing>
    </w:r>
    <w:r w:rsidR="0040731C" w:rsidRPr="003F6722">
      <w:rPr>
        <w:rFonts w:ascii="Arial" w:hAnsi="Arial" w:cs="Arial"/>
        <w:color w:val="333333"/>
        <w:sz w:val="16"/>
        <w:szCs w:val="16"/>
      </w:rPr>
      <w:t>Dieses Material steht unter der Creative-Commons-Lizenz Namensnennung – Weitergabe unter gleichen Bedingungen</w:t>
    </w:r>
    <w:r w:rsidR="003F6722" w:rsidRPr="003F6722">
      <w:rPr>
        <w:rFonts w:ascii="Arial" w:hAnsi="Arial" w:cs="Arial"/>
        <w:color w:val="333333"/>
        <w:sz w:val="16"/>
        <w:szCs w:val="16"/>
      </w:rPr>
      <w:t>.</w:t>
    </w:r>
    <w:r w:rsidR="0040731C" w:rsidRPr="003F6722">
      <w:rPr>
        <w:rFonts w:ascii="Arial" w:hAnsi="Arial" w:cs="Arial"/>
        <w:color w:val="333333"/>
        <w:sz w:val="16"/>
        <w:szCs w:val="16"/>
      </w:rPr>
      <w:t xml:space="preserve"> Um eine Kopie dieser Lizenz zu sehen, besuchen Sie </w:t>
    </w:r>
    <w:hyperlink r:id="rId2" w:history="1">
      <w:r w:rsidR="003F6722" w:rsidRPr="003F6722">
        <w:rPr>
          <w:rStyle w:val="Hyperlink"/>
          <w:rFonts w:ascii="Arial" w:hAnsi="Arial" w:cs="Arial"/>
          <w:sz w:val="16"/>
          <w:szCs w:val="16"/>
        </w:rPr>
        <w:t>https://creativecommons.org/licenses/by-sa/4.0/legalcode.de</w:t>
      </w:r>
    </w:hyperlink>
  </w:p>
  <w:p w14:paraId="47BBBB70" w14:textId="01CD0C01" w:rsidR="00C20EF1" w:rsidRPr="00073A86" w:rsidRDefault="00C20EF1">
    <w:pPr>
      <w:pStyle w:val="Fuzeile"/>
      <w:jc w:val="center"/>
      <w:rPr>
        <w:rFonts w:ascii="Arial" w:hAnsi="Arial" w:cs="Arial"/>
        <w:sz w:val="20"/>
        <w:szCs w:val="20"/>
      </w:rPr>
    </w:pPr>
  </w:p>
  <w:p w14:paraId="08128671" w14:textId="77777777" w:rsidR="00C20EF1" w:rsidRDefault="00C20E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D6FA33" w14:textId="77777777" w:rsidR="00694BDB" w:rsidRDefault="00694BDB" w:rsidP="00014AE4">
      <w:pPr>
        <w:spacing w:after="0" w:line="240" w:lineRule="auto"/>
      </w:pPr>
      <w:r>
        <w:separator/>
      </w:r>
    </w:p>
  </w:footnote>
  <w:footnote w:type="continuationSeparator" w:id="0">
    <w:p w14:paraId="44DBDDF5" w14:textId="77777777" w:rsidR="00694BDB" w:rsidRDefault="00694BDB" w:rsidP="00014AE4">
      <w:pPr>
        <w:spacing w:after="0" w:line="240" w:lineRule="auto"/>
      </w:pPr>
      <w:r>
        <w:continuationSeparator/>
      </w:r>
    </w:p>
  </w:footnote>
  <w:footnote w:type="continuationNotice" w:id="1">
    <w:p w14:paraId="1A7DE5FE" w14:textId="77777777" w:rsidR="00694BDB" w:rsidRDefault="00694B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99CD14" w14:textId="77777777" w:rsidR="00C20EF1" w:rsidRDefault="00C20EF1">
    <w:pPr>
      <w:pStyle w:val="Kopfzeile"/>
    </w:pPr>
    <w:r w:rsidRPr="00B01655">
      <w:rPr>
        <w:rFonts w:ascii="Arial" w:eastAsia="Times New Roman" w:hAnsi="Arial" w:cs="Times New Roman"/>
        <w:noProof/>
        <w:color w:val="333333"/>
        <w:lang w:eastAsia="de-DE"/>
      </w:rPr>
      <mc:AlternateContent>
        <mc:Choice Requires="wps">
          <w:drawing>
            <wp:anchor distT="45720" distB="45720" distL="114300" distR="114300" simplePos="0" relativeHeight="251658241" behindDoc="0" locked="0" layoutInCell="1" allowOverlap="1" wp14:anchorId="3BD48D9A" wp14:editId="64492C07">
              <wp:simplePos x="0" y="0"/>
              <wp:positionH relativeFrom="rightMargin">
                <wp:posOffset>11430</wp:posOffset>
              </wp:positionH>
              <wp:positionV relativeFrom="paragraph">
                <wp:posOffset>459105</wp:posOffset>
              </wp:positionV>
              <wp:extent cx="771525" cy="1404620"/>
              <wp:effectExtent l="0" t="0" r="9525" b="25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404620"/>
                      </a:xfrm>
                      <a:prstGeom prst="rect">
                        <a:avLst/>
                      </a:prstGeom>
                      <a:solidFill>
                        <a:srgbClr val="FFFFFF"/>
                      </a:solidFill>
                      <a:ln w="9525">
                        <a:noFill/>
                        <a:miter lim="800000"/>
                        <a:headEnd/>
                        <a:tailEnd/>
                      </a:ln>
                    </wps:spPr>
                    <wps:txbx>
                      <w:txbxContent>
                        <w:p w14:paraId="3C70F3B8" w14:textId="46028183" w:rsidR="00C20EF1" w:rsidRPr="00AC2223" w:rsidRDefault="00C20EF1" w:rsidP="00C93D17">
                          <w:pPr>
                            <w:jc w:val="right"/>
                            <w:rPr>
                              <w:rFonts w:ascii="Arial" w:hAnsi="Arial" w:cs="Arial"/>
                              <w:i/>
                              <w:sz w:val="18"/>
                              <w:szCs w:val="18"/>
                            </w:rPr>
                          </w:pPr>
                          <w:hyperlink r:id="rId1" w:history="1">
                            <w:r w:rsidRPr="00866E53">
                              <w:rPr>
                                <w:rStyle w:val="Hyperlink"/>
                                <w:rFonts w:ascii="Arial" w:hAnsi="Arial" w:cs="Arial"/>
                                <w:i/>
                                <w:sz w:val="18"/>
                                <w:szCs w:val="18"/>
                              </w:rPr>
                              <w:t>wb-web</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48D9A" id="_x0000_t202" coordsize="21600,21600" o:spt="202" path="m,l,21600r21600,l21600,xe">
              <v:stroke joinstyle="miter"/>
              <v:path gradientshapeok="t" o:connecttype="rect"/>
            </v:shapetype>
            <v:shape id="Textfeld 2" o:spid="_x0000_s1026" type="#_x0000_t202" style="position:absolute;margin-left:.9pt;margin-top:36.15pt;width:60.75pt;height:110.6pt;z-index:251658241;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" stroked="f">
              <v:textbox style="mso-fit-shape-to-text:t">
                <w:txbxContent>
                  <w:p w14:paraId="3C70F3B8" w14:textId="46028183" w:rsidR="00C20EF1" w:rsidRPr="00AC2223" w:rsidRDefault="00C20EF1" w:rsidP="00C93D17">
                    <w:pPr>
                      <w:jc w:val="right"/>
                      <w:rPr>
                        <w:rFonts w:ascii="Arial" w:hAnsi="Arial" w:cs="Arial"/>
                        <w:i/>
                        <w:sz w:val="18"/>
                        <w:szCs w:val="18"/>
                      </w:rPr>
                    </w:pPr>
                    <w:hyperlink r:id="rId2" w:history="1">
                      <w:r w:rsidRPr="00866E53">
                        <w:rPr>
                          <w:rStyle w:val="Hyperlink"/>
                          <w:rFonts w:ascii="Arial" w:hAnsi="Arial" w:cs="Arial"/>
                          <w:i/>
                          <w:sz w:val="18"/>
                          <w:szCs w:val="18"/>
                        </w:rPr>
                        <w:t>wb-web</w:t>
                      </w:r>
                    </w:hyperlink>
                  </w:p>
                </w:txbxContent>
              </v:textbox>
              <w10:wrap anchorx="margin"/>
            </v:shape>
          </w:pict>
        </mc:Fallback>
      </mc:AlternateContent>
    </w:r>
    <w:r>
      <w:rPr>
        <w:noProof/>
        <w:lang w:eastAsia="de-DE"/>
      </w:rPr>
      <w:drawing>
        <wp:anchor distT="0" distB="0" distL="114300" distR="114300" simplePos="0" relativeHeight="251658240" behindDoc="0" locked="0" layoutInCell="1" allowOverlap="1" wp14:anchorId="662AF5A3" wp14:editId="191E5A0A">
          <wp:simplePos x="0" y="0"/>
          <wp:positionH relativeFrom="column">
            <wp:posOffset>-895350</wp:posOffset>
          </wp:positionH>
          <wp:positionV relativeFrom="paragraph">
            <wp:posOffset>-443865</wp:posOffset>
          </wp:positionV>
          <wp:extent cx="7553325" cy="895350"/>
          <wp:effectExtent l="0" t="0" r="9525" b="0"/>
          <wp:wrapNone/>
          <wp:docPr id="11" name="Bild 1"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eader.jpg"/>
                  <pic:cNvPicPr>
                    <a:picLocks noChangeAspect="1" noChangeArrowheads="1"/>
                  </pic:cNvPicPr>
                </pic:nvPicPr>
                <pic:blipFill>
                  <a:blip r:embed="rId3">
                    <a:extLst>
                      <a:ext uri="{28A0092B-C50C-407E-A947-70E740481C1C}">
                        <a14:useLocalDpi xmlns:a14="http://schemas.microsoft.com/office/drawing/2010/main" val="0"/>
                      </a:ext>
                    </a:extLst>
                  </a:blip>
                  <a:srcRect r="25595" b="50865"/>
                  <a:stretch>
                    <a:fillRect/>
                  </a:stretch>
                </pic:blipFill>
                <pic:spPr bwMode="auto">
                  <a:xfrm>
                    <a:off x="0" y="0"/>
                    <a:ext cx="7553325" cy="895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3403F"/>
    <w:multiLevelType w:val="hybridMultilevel"/>
    <w:tmpl w:val="F5FEBC8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1460FD0"/>
    <w:multiLevelType w:val="hybridMultilevel"/>
    <w:tmpl w:val="84DE97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D8067B"/>
    <w:multiLevelType w:val="hybridMultilevel"/>
    <w:tmpl w:val="A1DAD40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44D54BA"/>
    <w:multiLevelType w:val="hybridMultilevel"/>
    <w:tmpl w:val="459E19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38803F40"/>
    <w:multiLevelType w:val="hybridMultilevel"/>
    <w:tmpl w:val="98E2AD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7B57D3"/>
    <w:multiLevelType w:val="multilevel"/>
    <w:tmpl w:val="2610A288"/>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30F3A03"/>
    <w:multiLevelType w:val="hybridMultilevel"/>
    <w:tmpl w:val="A078894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5C2909"/>
    <w:multiLevelType w:val="hybridMultilevel"/>
    <w:tmpl w:val="86804B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06600AB"/>
    <w:multiLevelType w:val="hybridMultilevel"/>
    <w:tmpl w:val="47028C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540B28"/>
    <w:multiLevelType w:val="hybridMultilevel"/>
    <w:tmpl w:val="3A94CFDE"/>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360" w:hanging="360"/>
      </w:pPr>
      <w:rPr>
        <w:rFonts w:ascii="Courier New" w:hAnsi="Courier New" w:cs="Courier New" w:hint="default"/>
      </w:rPr>
    </w:lvl>
    <w:lvl w:ilvl="2" w:tplc="04070005">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10" w15:restartNumberingAfterBreak="0">
    <w:nsid w:val="67DD5C0D"/>
    <w:multiLevelType w:val="hybridMultilevel"/>
    <w:tmpl w:val="5A70E4B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371298834">
    <w:abstractNumId w:val="8"/>
  </w:num>
  <w:num w:numId="2" w16cid:durableId="746806970">
    <w:abstractNumId w:val="1"/>
  </w:num>
  <w:num w:numId="3" w16cid:durableId="1071780716">
    <w:abstractNumId w:val="9"/>
  </w:num>
  <w:num w:numId="4" w16cid:durableId="340401180">
    <w:abstractNumId w:val="5"/>
  </w:num>
  <w:num w:numId="5" w16cid:durableId="881598697">
    <w:abstractNumId w:val="2"/>
  </w:num>
  <w:num w:numId="6" w16cid:durableId="2093626395">
    <w:abstractNumId w:val="6"/>
  </w:num>
  <w:num w:numId="7" w16cid:durableId="771784589">
    <w:abstractNumId w:val="7"/>
  </w:num>
  <w:num w:numId="8" w16cid:durableId="110898317">
    <w:abstractNumId w:val="3"/>
  </w:num>
  <w:num w:numId="9" w16cid:durableId="1474374394">
    <w:abstractNumId w:val="0"/>
  </w:num>
  <w:num w:numId="10" w16cid:durableId="693381770">
    <w:abstractNumId w:val="4"/>
  </w:num>
  <w:num w:numId="11" w16cid:durableId="195625264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57"/>
    <w:rsid w:val="000070AA"/>
    <w:rsid w:val="00012057"/>
    <w:rsid w:val="00014AE4"/>
    <w:rsid w:val="00024E18"/>
    <w:rsid w:val="0003682D"/>
    <w:rsid w:val="00043539"/>
    <w:rsid w:val="00050884"/>
    <w:rsid w:val="00055254"/>
    <w:rsid w:val="0007220E"/>
    <w:rsid w:val="00072739"/>
    <w:rsid w:val="00073A86"/>
    <w:rsid w:val="00097499"/>
    <w:rsid w:val="000A631B"/>
    <w:rsid w:val="000B33D4"/>
    <w:rsid w:val="000B5555"/>
    <w:rsid w:val="000C2EC0"/>
    <w:rsid w:val="000C3715"/>
    <w:rsid w:val="000E619B"/>
    <w:rsid w:val="000E69C7"/>
    <w:rsid w:val="00107570"/>
    <w:rsid w:val="00136240"/>
    <w:rsid w:val="00154B63"/>
    <w:rsid w:val="00160D34"/>
    <w:rsid w:val="00164199"/>
    <w:rsid w:val="00172672"/>
    <w:rsid w:val="00174AB7"/>
    <w:rsid w:val="00184D2F"/>
    <w:rsid w:val="00192347"/>
    <w:rsid w:val="001930DD"/>
    <w:rsid w:val="001A042C"/>
    <w:rsid w:val="001A3324"/>
    <w:rsid w:val="001A4F41"/>
    <w:rsid w:val="001C43DE"/>
    <w:rsid w:val="001D753E"/>
    <w:rsid w:val="001D7A0C"/>
    <w:rsid w:val="001F41FA"/>
    <w:rsid w:val="00212CE2"/>
    <w:rsid w:val="00225F74"/>
    <w:rsid w:val="0022714B"/>
    <w:rsid w:val="002311FA"/>
    <w:rsid w:val="002357B9"/>
    <w:rsid w:val="00247A89"/>
    <w:rsid w:val="00252C32"/>
    <w:rsid w:val="002579A1"/>
    <w:rsid w:val="00257F3C"/>
    <w:rsid w:val="002604A1"/>
    <w:rsid w:val="0026602B"/>
    <w:rsid w:val="00283290"/>
    <w:rsid w:val="00286ECE"/>
    <w:rsid w:val="0029204A"/>
    <w:rsid w:val="00296BA5"/>
    <w:rsid w:val="002A5AAA"/>
    <w:rsid w:val="002A6FD0"/>
    <w:rsid w:val="002B431B"/>
    <w:rsid w:val="002B7AE1"/>
    <w:rsid w:val="002B7B20"/>
    <w:rsid w:val="003071B5"/>
    <w:rsid w:val="0031708C"/>
    <w:rsid w:val="00327355"/>
    <w:rsid w:val="003277CC"/>
    <w:rsid w:val="00333725"/>
    <w:rsid w:val="00336472"/>
    <w:rsid w:val="00356503"/>
    <w:rsid w:val="00360C3F"/>
    <w:rsid w:val="00366444"/>
    <w:rsid w:val="00372E70"/>
    <w:rsid w:val="003A6AC8"/>
    <w:rsid w:val="003B00B1"/>
    <w:rsid w:val="003B72B2"/>
    <w:rsid w:val="003E2B43"/>
    <w:rsid w:val="003E319B"/>
    <w:rsid w:val="003F1866"/>
    <w:rsid w:val="003F6049"/>
    <w:rsid w:val="003F6722"/>
    <w:rsid w:val="00401DF3"/>
    <w:rsid w:val="0040731C"/>
    <w:rsid w:val="0041295D"/>
    <w:rsid w:val="00432236"/>
    <w:rsid w:val="00434DAD"/>
    <w:rsid w:val="00440479"/>
    <w:rsid w:val="00453D8A"/>
    <w:rsid w:val="00480978"/>
    <w:rsid w:val="00484F09"/>
    <w:rsid w:val="00485690"/>
    <w:rsid w:val="00492E6F"/>
    <w:rsid w:val="004957C2"/>
    <w:rsid w:val="004A2070"/>
    <w:rsid w:val="004A3830"/>
    <w:rsid w:val="004B33AC"/>
    <w:rsid w:val="004E0F52"/>
    <w:rsid w:val="004E194E"/>
    <w:rsid w:val="004F16D2"/>
    <w:rsid w:val="00507CF2"/>
    <w:rsid w:val="00527C57"/>
    <w:rsid w:val="005328AC"/>
    <w:rsid w:val="00543A76"/>
    <w:rsid w:val="00546890"/>
    <w:rsid w:val="00557F5A"/>
    <w:rsid w:val="00563A34"/>
    <w:rsid w:val="00573F48"/>
    <w:rsid w:val="00575AC6"/>
    <w:rsid w:val="00583DC6"/>
    <w:rsid w:val="0058787C"/>
    <w:rsid w:val="0059615E"/>
    <w:rsid w:val="005A1DD2"/>
    <w:rsid w:val="005A7DA9"/>
    <w:rsid w:val="005B1185"/>
    <w:rsid w:val="005B2946"/>
    <w:rsid w:val="005B2BC5"/>
    <w:rsid w:val="005C650B"/>
    <w:rsid w:val="005D4165"/>
    <w:rsid w:val="005D6E54"/>
    <w:rsid w:val="00621195"/>
    <w:rsid w:val="0062161D"/>
    <w:rsid w:val="006270E7"/>
    <w:rsid w:val="006316AA"/>
    <w:rsid w:val="00640976"/>
    <w:rsid w:val="00664EA8"/>
    <w:rsid w:val="00672F4C"/>
    <w:rsid w:val="006742E9"/>
    <w:rsid w:val="006778D7"/>
    <w:rsid w:val="00682600"/>
    <w:rsid w:val="00694BDB"/>
    <w:rsid w:val="006B5AF9"/>
    <w:rsid w:val="006C07CC"/>
    <w:rsid w:val="006C411B"/>
    <w:rsid w:val="006D2AF4"/>
    <w:rsid w:val="006E11FC"/>
    <w:rsid w:val="00702D9F"/>
    <w:rsid w:val="00723B4B"/>
    <w:rsid w:val="00726C8F"/>
    <w:rsid w:val="0074434B"/>
    <w:rsid w:val="007711B4"/>
    <w:rsid w:val="00782E5B"/>
    <w:rsid w:val="007914CD"/>
    <w:rsid w:val="00792065"/>
    <w:rsid w:val="00797606"/>
    <w:rsid w:val="007A56C7"/>
    <w:rsid w:val="007B0F48"/>
    <w:rsid w:val="007F6F01"/>
    <w:rsid w:val="00801BE1"/>
    <w:rsid w:val="00807CA4"/>
    <w:rsid w:val="008276AC"/>
    <w:rsid w:val="00836189"/>
    <w:rsid w:val="00844063"/>
    <w:rsid w:val="00855915"/>
    <w:rsid w:val="0086412D"/>
    <w:rsid w:val="00866E53"/>
    <w:rsid w:val="0087025C"/>
    <w:rsid w:val="00875289"/>
    <w:rsid w:val="00882CDD"/>
    <w:rsid w:val="00894E64"/>
    <w:rsid w:val="008A4C47"/>
    <w:rsid w:val="008B0E78"/>
    <w:rsid w:val="008D00C4"/>
    <w:rsid w:val="008F3ECD"/>
    <w:rsid w:val="00927D64"/>
    <w:rsid w:val="00932967"/>
    <w:rsid w:val="00946FF8"/>
    <w:rsid w:val="00951E66"/>
    <w:rsid w:val="009536BB"/>
    <w:rsid w:val="0097099C"/>
    <w:rsid w:val="00972975"/>
    <w:rsid w:val="00987AC5"/>
    <w:rsid w:val="0099639D"/>
    <w:rsid w:val="009A290B"/>
    <w:rsid w:val="009A3012"/>
    <w:rsid w:val="009A58F1"/>
    <w:rsid w:val="009A797B"/>
    <w:rsid w:val="009B1D18"/>
    <w:rsid w:val="009D27A8"/>
    <w:rsid w:val="00A46E1A"/>
    <w:rsid w:val="00A46E28"/>
    <w:rsid w:val="00A540FC"/>
    <w:rsid w:val="00A6052F"/>
    <w:rsid w:val="00A63C85"/>
    <w:rsid w:val="00A6496C"/>
    <w:rsid w:val="00A71E96"/>
    <w:rsid w:val="00A92FB3"/>
    <w:rsid w:val="00AB62CA"/>
    <w:rsid w:val="00AC2223"/>
    <w:rsid w:val="00AD082A"/>
    <w:rsid w:val="00AE59A2"/>
    <w:rsid w:val="00B01655"/>
    <w:rsid w:val="00B13083"/>
    <w:rsid w:val="00B20324"/>
    <w:rsid w:val="00B26B12"/>
    <w:rsid w:val="00B40BCA"/>
    <w:rsid w:val="00B45B0D"/>
    <w:rsid w:val="00B812A5"/>
    <w:rsid w:val="00B94EB4"/>
    <w:rsid w:val="00B9780C"/>
    <w:rsid w:val="00BB1C70"/>
    <w:rsid w:val="00BC1B12"/>
    <w:rsid w:val="00BC2391"/>
    <w:rsid w:val="00BD5794"/>
    <w:rsid w:val="00BF1FB0"/>
    <w:rsid w:val="00C07190"/>
    <w:rsid w:val="00C20EF1"/>
    <w:rsid w:val="00C315A0"/>
    <w:rsid w:val="00C322B8"/>
    <w:rsid w:val="00C40276"/>
    <w:rsid w:val="00C430B2"/>
    <w:rsid w:val="00C4615B"/>
    <w:rsid w:val="00C46E1E"/>
    <w:rsid w:val="00C50B4D"/>
    <w:rsid w:val="00C5145B"/>
    <w:rsid w:val="00C55647"/>
    <w:rsid w:val="00C71B6C"/>
    <w:rsid w:val="00C75254"/>
    <w:rsid w:val="00C75970"/>
    <w:rsid w:val="00C77E9D"/>
    <w:rsid w:val="00C93D17"/>
    <w:rsid w:val="00CC137D"/>
    <w:rsid w:val="00CF16B5"/>
    <w:rsid w:val="00CF3FA4"/>
    <w:rsid w:val="00D04C94"/>
    <w:rsid w:val="00D04D28"/>
    <w:rsid w:val="00D215A2"/>
    <w:rsid w:val="00D24DB9"/>
    <w:rsid w:val="00D33A98"/>
    <w:rsid w:val="00D4765E"/>
    <w:rsid w:val="00D5124F"/>
    <w:rsid w:val="00D71932"/>
    <w:rsid w:val="00D830D5"/>
    <w:rsid w:val="00DA7C65"/>
    <w:rsid w:val="00DD0A88"/>
    <w:rsid w:val="00DD18FB"/>
    <w:rsid w:val="00DD38BA"/>
    <w:rsid w:val="00DD7B7C"/>
    <w:rsid w:val="00DE0E7E"/>
    <w:rsid w:val="00E00710"/>
    <w:rsid w:val="00E16D3E"/>
    <w:rsid w:val="00E21759"/>
    <w:rsid w:val="00E53294"/>
    <w:rsid w:val="00E5546C"/>
    <w:rsid w:val="00E744F6"/>
    <w:rsid w:val="00E84DD0"/>
    <w:rsid w:val="00E91C96"/>
    <w:rsid w:val="00EC678A"/>
    <w:rsid w:val="00ED28DD"/>
    <w:rsid w:val="00EF517E"/>
    <w:rsid w:val="00EF554C"/>
    <w:rsid w:val="00F04EC9"/>
    <w:rsid w:val="00F3380E"/>
    <w:rsid w:val="00F44E3D"/>
    <w:rsid w:val="00F50A44"/>
    <w:rsid w:val="00F5698F"/>
    <w:rsid w:val="00F62CDE"/>
    <w:rsid w:val="00F644FD"/>
    <w:rsid w:val="00F81A86"/>
    <w:rsid w:val="00FA7C6D"/>
    <w:rsid w:val="00FC3732"/>
    <w:rsid w:val="00FD4313"/>
    <w:rsid w:val="46F98985"/>
    <w:rsid w:val="6BBE12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1AB83"/>
  <w15:chartTrackingRefBased/>
  <w15:docId w15:val="{73C80F9C-3A1B-4481-B653-6360E893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1FB0"/>
  </w:style>
  <w:style w:type="paragraph" w:styleId="berschrift1">
    <w:name w:val="heading 1"/>
    <w:basedOn w:val="Standard"/>
    <w:link w:val="berschrift1Zchn"/>
    <w:uiPriority w:val="9"/>
    <w:qFormat/>
    <w:rsid w:val="00BF1F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4F16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4A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4AE4"/>
  </w:style>
  <w:style w:type="paragraph" w:styleId="Fuzeile">
    <w:name w:val="footer"/>
    <w:basedOn w:val="Standard"/>
    <w:link w:val="FuzeileZchn"/>
    <w:uiPriority w:val="99"/>
    <w:unhideWhenUsed/>
    <w:rsid w:val="00014A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4AE4"/>
  </w:style>
  <w:style w:type="character" w:customStyle="1" w:styleId="berschrift1Zchn">
    <w:name w:val="Überschrift 1 Zchn"/>
    <w:basedOn w:val="Absatz-Standardschriftart"/>
    <w:link w:val="berschrift1"/>
    <w:uiPriority w:val="9"/>
    <w:rsid w:val="00BF1FB0"/>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BF1FB0"/>
    <w:rPr>
      <w:color w:val="0000FF" w:themeColor="hyperlink"/>
      <w:u w:val="single"/>
    </w:rPr>
  </w:style>
  <w:style w:type="paragraph" w:styleId="Listenabsatz">
    <w:name w:val="List Paragraph"/>
    <w:basedOn w:val="Standard"/>
    <w:uiPriority w:val="34"/>
    <w:qFormat/>
    <w:rsid w:val="00BF1FB0"/>
    <w:pPr>
      <w:ind w:left="720"/>
      <w:contextualSpacing/>
    </w:pPr>
  </w:style>
  <w:style w:type="paragraph" w:customStyle="1" w:styleId="Standard1">
    <w:name w:val="Standard1"/>
    <w:rsid w:val="009536BB"/>
    <w:pPr>
      <w:spacing w:after="0"/>
    </w:pPr>
    <w:rPr>
      <w:rFonts w:ascii="Arial" w:eastAsia="Arial" w:hAnsi="Arial" w:cs="Arial"/>
      <w:color w:val="000000"/>
      <w:lang w:eastAsia="de-DE"/>
    </w:rPr>
  </w:style>
  <w:style w:type="character" w:styleId="Kommentarzeichen">
    <w:name w:val="annotation reference"/>
    <w:basedOn w:val="Absatz-Standardschriftart"/>
    <w:uiPriority w:val="99"/>
    <w:semiHidden/>
    <w:unhideWhenUsed/>
    <w:rsid w:val="002B431B"/>
    <w:rPr>
      <w:sz w:val="16"/>
      <w:szCs w:val="16"/>
    </w:rPr>
  </w:style>
  <w:style w:type="paragraph" w:styleId="Kommentartext">
    <w:name w:val="annotation text"/>
    <w:basedOn w:val="Standard"/>
    <w:link w:val="KommentartextZchn"/>
    <w:uiPriority w:val="99"/>
    <w:semiHidden/>
    <w:unhideWhenUsed/>
    <w:rsid w:val="002B431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B431B"/>
    <w:rPr>
      <w:sz w:val="20"/>
      <w:szCs w:val="20"/>
    </w:rPr>
  </w:style>
  <w:style w:type="paragraph" w:styleId="Kommentarthema">
    <w:name w:val="annotation subject"/>
    <w:basedOn w:val="Kommentartext"/>
    <w:next w:val="Kommentartext"/>
    <w:link w:val="KommentarthemaZchn"/>
    <w:uiPriority w:val="99"/>
    <w:semiHidden/>
    <w:unhideWhenUsed/>
    <w:rsid w:val="002B431B"/>
    <w:rPr>
      <w:b/>
      <w:bCs/>
    </w:rPr>
  </w:style>
  <w:style w:type="character" w:customStyle="1" w:styleId="KommentarthemaZchn">
    <w:name w:val="Kommentarthema Zchn"/>
    <w:basedOn w:val="KommentartextZchn"/>
    <w:link w:val="Kommentarthema"/>
    <w:uiPriority w:val="99"/>
    <w:semiHidden/>
    <w:rsid w:val="002B431B"/>
    <w:rPr>
      <w:b/>
      <w:bCs/>
      <w:sz w:val="20"/>
      <w:szCs w:val="20"/>
    </w:rPr>
  </w:style>
  <w:style w:type="paragraph" w:styleId="Sprechblasentext">
    <w:name w:val="Balloon Text"/>
    <w:basedOn w:val="Standard"/>
    <w:link w:val="SprechblasentextZchn"/>
    <w:uiPriority w:val="99"/>
    <w:semiHidden/>
    <w:unhideWhenUsed/>
    <w:rsid w:val="002B43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431B"/>
    <w:rPr>
      <w:rFonts w:ascii="Segoe UI" w:hAnsi="Segoe UI" w:cs="Segoe UI"/>
      <w:sz w:val="18"/>
      <w:szCs w:val="18"/>
    </w:rPr>
  </w:style>
  <w:style w:type="character" w:styleId="NichtaufgelsteErwhnung">
    <w:name w:val="Unresolved Mention"/>
    <w:basedOn w:val="Absatz-Standardschriftart"/>
    <w:uiPriority w:val="99"/>
    <w:semiHidden/>
    <w:unhideWhenUsed/>
    <w:rsid w:val="0041295D"/>
    <w:rPr>
      <w:color w:val="808080"/>
      <w:shd w:val="clear" w:color="auto" w:fill="E6E6E6"/>
    </w:rPr>
  </w:style>
  <w:style w:type="paragraph" w:styleId="berarbeitung">
    <w:name w:val="Revision"/>
    <w:hidden/>
    <w:uiPriority w:val="99"/>
    <w:semiHidden/>
    <w:rsid w:val="00866E53"/>
    <w:pPr>
      <w:spacing w:after="0" w:line="240" w:lineRule="auto"/>
    </w:pPr>
  </w:style>
  <w:style w:type="character" w:styleId="BesuchterLink">
    <w:name w:val="FollowedHyperlink"/>
    <w:basedOn w:val="Absatz-Standardschriftart"/>
    <w:uiPriority w:val="99"/>
    <w:semiHidden/>
    <w:unhideWhenUsed/>
    <w:rsid w:val="00B9780C"/>
    <w:rPr>
      <w:color w:val="800080" w:themeColor="followedHyperlink"/>
      <w:u w:val="single"/>
    </w:rPr>
  </w:style>
  <w:style w:type="paragraph" w:styleId="StandardWeb">
    <w:name w:val="Normal (Web)"/>
    <w:basedOn w:val="Standard"/>
    <w:uiPriority w:val="99"/>
    <w:unhideWhenUsed/>
    <w:rsid w:val="009A301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A3012"/>
    <w:rPr>
      <w:b/>
      <w:bCs/>
    </w:rPr>
  </w:style>
  <w:style w:type="paragraph" w:styleId="Beschriftung">
    <w:name w:val="caption"/>
    <w:basedOn w:val="Standard"/>
    <w:next w:val="Standard"/>
    <w:uiPriority w:val="35"/>
    <w:unhideWhenUsed/>
    <w:qFormat/>
    <w:rsid w:val="001C43DE"/>
    <w:pPr>
      <w:spacing w:line="240" w:lineRule="auto"/>
    </w:pPr>
    <w:rPr>
      <w:i/>
      <w:iCs/>
      <w:color w:val="1F497D" w:themeColor="text2"/>
      <w:sz w:val="18"/>
      <w:szCs w:val="18"/>
    </w:rPr>
  </w:style>
  <w:style w:type="character" w:customStyle="1" w:styleId="berschrift2Zchn">
    <w:name w:val="Überschrift 2 Zchn"/>
    <w:basedOn w:val="Absatz-Standardschriftart"/>
    <w:link w:val="berschrift2"/>
    <w:uiPriority w:val="9"/>
    <w:rsid w:val="004F16D2"/>
    <w:rPr>
      <w:rFonts w:asciiTheme="majorHAnsi" w:eastAsiaTheme="majorEastAsia" w:hAnsiTheme="majorHAnsi" w:cstheme="majorBidi"/>
      <w:color w:val="365F91" w:themeColor="accent1" w:themeShade="BF"/>
      <w:sz w:val="26"/>
      <w:szCs w:val="26"/>
    </w:rPr>
  </w:style>
  <w:style w:type="paragraph" w:customStyle="1" w:styleId="p1">
    <w:name w:val="p1"/>
    <w:basedOn w:val="Standard"/>
    <w:rsid w:val="00782E5B"/>
    <w:pPr>
      <w:spacing w:after="0" w:line="240" w:lineRule="auto"/>
    </w:pPr>
    <w:rPr>
      <w:rFonts w:ascii="Helvetica" w:eastAsia="Times New Roman" w:hAnsi="Helvetica" w:cs="Times New Roman"/>
      <w:color w:val="000000"/>
      <w:sz w:val="15"/>
      <w:szCs w:val="15"/>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3381216">
      <w:bodyDiv w:val="1"/>
      <w:marLeft w:val="0"/>
      <w:marRight w:val="0"/>
      <w:marTop w:val="0"/>
      <w:marBottom w:val="0"/>
      <w:divBdr>
        <w:top w:val="none" w:sz="0" w:space="0" w:color="auto"/>
        <w:left w:val="none" w:sz="0" w:space="0" w:color="auto"/>
        <w:bottom w:val="none" w:sz="0" w:space="0" w:color="auto"/>
        <w:right w:val="none" w:sz="0" w:space="0" w:color="auto"/>
      </w:divBdr>
    </w:div>
    <w:div w:id="15797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b-web.de/material/lehren-lernen/arbeitslehre-und-resilenz.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legalcode.de"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wb-web.de/" TargetMode="External"/><Relationship Id="rId1" Type="http://schemas.openxmlformats.org/officeDocument/2006/relationships/hyperlink" Target="https://wb-web.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ba72f6-2060-4661-9cfe-97e4e2f7da5f">
      <Terms xmlns="http://schemas.microsoft.com/office/infopath/2007/PartnerControls"/>
    </lcf76f155ced4ddcb4097134ff3c332f>
    <TaxCatchAll xmlns="dd9e0e75-209e-44b8-975e-d4794545e8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A9B8B4F5E637F43AF8AED62ED19A79E" ma:contentTypeVersion="18" ma:contentTypeDescription="Ein neues Dokument erstellen." ma:contentTypeScope="" ma:versionID="5389132632ca22c2a7144df96acb6617">
  <xsd:schema xmlns:xsd="http://www.w3.org/2001/XMLSchema" xmlns:xs="http://www.w3.org/2001/XMLSchema" xmlns:p="http://schemas.microsoft.com/office/2006/metadata/properties" xmlns:ns2="1bba72f6-2060-4661-9cfe-97e4e2f7da5f" xmlns:ns3="dd9e0e75-209e-44b8-975e-d4794545e8e4" targetNamespace="http://schemas.microsoft.com/office/2006/metadata/properties" ma:root="true" ma:fieldsID="7b1d2a1f9ccc0045eb75c38c5a43cc18" ns2:_="" ns3:_="">
    <xsd:import namespace="1bba72f6-2060-4661-9cfe-97e4e2f7da5f"/>
    <xsd:import namespace="dd9e0e75-209e-44b8-975e-d4794545e8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72f6-2060-4661-9cfe-97e4e2f7d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db0bd3c-7ed0-4f4b-94bf-933411465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e0e75-209e-44b8-975e-d4794545e8e4"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a8d46ec-d00a-4989-b33b-4ba017194e0f}" ma:internalName="TaxCatchAll" ma:showField="CatchAllData" ma:web="dd9e0e75-209e-44b8-975e-d4794545e8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3F22CF-3353-434A-B1FE-A34F5CBA22C9}">
  <ds:schemaRefs>
    <ds:schemaRef ds:uri="http://schemas.microsoft.com/office/2006/metadata/properties"/>
    <ds:schemaRef ds:uri="http://schemas.microsoft.com/office/infopath/2007/PartnerControls"/>
    <ds:schemaRef ds:uri="1bba72f6-2060-4661-9cfe-97e4e2f7da5f"/>
    <ds:schemaRef ds:uri="dd9e0e75-209e-44b8-975e-d4794545e8e4"/>
  </ds:schemaRefs>
</ds:datastoreItem>
</file>

<file path=customXml/itemProps2.xml><?xml version="1.0" encoding="utf-8"?>
<ds:datastoreItem xmlns:ds="http://schemas.openxmlformats.org/officeDocument/2006/customXml" ds:itemID="{F82C1EEF-1F80-4839-B497-461F951D0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72f6-2060-4661-9cfe-97e4e2f7da5f"/>
    <ds:schemaRef ds:uri="dd9e0e75-209e-44b8-975e-d4794545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6E8E8-3970-4730-BF98-9D125ED334F1}">
  <ds:schemaRefs>
    <ds:schemaRef ds:uri="http://schemas.openxmlformats.org/officeDocument/2006/bibliography"/>
  </ds:schemaRefs>
</ds:datastoreItem>
</file>

<file path=customXml/itemProps4.xml><?xml version="1.0" encoding="utf-8"?>
<ds:datastoreItem xmlns:ds="http://schemas.openxmlformats.org/officeDocument/2006/customXml" ds:itemID="{872EC98C-0190-47FE-9C46-85EB16A919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1528</Words>
  <Characters>9633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Deutsches Institut für Erwachsenenbildung e. V.</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Kahle, Regina</dc:creator>
  <cp:keywords/>
  <dc:description/>
  <cp:lastModifiedBy>Kilian, Lars</cp:lastModifiedBy>
  <cp:revision>120</cp:revision>
  <cp:lastPrinted>2023-04-17T20:17:00Z</cp:lastPrinted>
  <dcterms:created xsi:type="dcterms:W3CDTF">2026-08-28T09:44:00Z</dcterms:created>
  <dcterms:modified xsi:type="dcterms:W3CDTF">2026-09-03T07:48:00Z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0x010100DA9B8B4F5E637F43AF8AED62ED19A79E</vt:lpwstr>
  </property>
  <property fmtid="{D5CDD505-2E9C-101B-9397-08002B2CF9AE}" pid="3" name="MediaServiceImageTags">
    <vt:lpwstr/>
  </property>
</Properties>
</file>